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08E" w:rsidRDefault="00FC19C7" w:rsidP="00A406A1">
      <w:pPr>
        <w:spacing w:before="100" w:beforeAutospacing="1" w:after="100" w:afterAutospacing="1" w:line="360" w:lineRule="auto"/>
        <w:ind w:firstLine="2268"/>
        <w:jc w:val="both"/>
        <w:rPr>
          <w:rFonts w:ascii="Arial" w:hAnsi="Arial" w:cs="Arial"/>
        </w:rPr>
      </w:pPr>
      <w:r w:rsidRPr="00036ACF">
        <w:rPr>
          <w:rFonts w:ascii="Arial" w:hAnsi="Arial" w:cs="Arial"/>
        </w:rPr>
        <w:t>Estância Velha</w:t>
      </w:r>
      <w:r w:rsidR="0059308E">
        <w:rPr>
          <w:rFonts w:ascii="Arial" w:hAnsi="Arial" w:cs="Arial"/>
        </w:rPr>
        <w:t xml:space="preserve"> -</w:t>
      </w:r>
      <w:r w:rsidRPr="00036ACF">
        <w:rPr>
          <w:rFonts w:ascii="Arial" w:hAnsi="Arial" w:cs="Arial"/>
        </w:rPr>
        <w:t xml:space="preserve"> RS, </w:t>
      </w:r>
      <w:r w:rsidR="00131A76">
        <w:rPr>
          <w:rFonts w:ascii="Arial" w:hAnsi="Arial" w:cs="Arial"/>
        </w:rPr>
        <w:t>26</w:t>
      </w:r>
      <w:r w:rsidRPr="00036ACF">
        <w:rPr>
          <w:rFonts w:ascii="Arial" w:hAnsi="Arial" w:cs="Arial"/>
        </w:rPr>
        <w:t xml:space="preserve"> de </w:t>
      </w:r>
      <w:r w:rsidR="00905E7C">
        <w:rPr>
          <w:rFonts w:ascii="Arial" w:hAnsi="Arial" w:cs="Arial"/>
        </w:rPr>
        <w:t>abril</w:t>
      </w:r>
      <w:r w:rsidRPr="00036ACF">
        <w:rPr>
          <w:rFonts w:ascii="Arial" w:hAnsi="Arial" w:cs="Arial"/>
        </w:rPr>
        <w:t xml:space="preserve"> </w:t>
      </w:r>
      <w:r w:rsidR="00905E7C">
        <w:rPr>
          <w:rFonts w:ascii="Arial" w:hAnsi="Arial" w:cs="Arial"/>
        </w:rPr>
        <w:t>de 2019</w:t>
      </w:r>
      <w:r w:rsidRPr="00036ACF">
        <w:rPr>
          <w:rFonts w:ascii="Arial" w:hAnsi="Arial" w:cs="Arial"/>
        </w:rPr>
        <w:t>.</w:t>
      </w:r>
    </w:p>
    <w:p w:rsidR="0059308E" w:rsidRDefault="00FC19C7" w:rsidP="0059308E">
      <w:pPr>
        <w:spacing w:before="100" w:beforeAutospacing="1" w:after="100" w:afterAutospacing="1" w:line="360" w:lineRule="auto"/>
        <w:ind w:firstLine="2268"/>
        <w:jc w:val="both"/>
        <w:rPr>
          <w:rFonts w:ascii="Arial" w:hAnsi="Arial" w:cs="Arial"/>
        </w:rPr>
      </w:pPr>
      <w:r w:rsidRPr="00036ACF">
        <w:rPr>
          <w:rFonts w:ascii="Arial" w:hAnsi="Arial" w:cs="Arial"/>
        </w:rPr>
        <w:t>Senhores Vereadores e Senhoras Vereadoras:</w:t>
      </w:r>
    </w:p>
    <w:p w:rsidR="00B020C0" w:rsidRPr="009515FD" w:rsidRDefault="00FC19C7" w:rsidP="009515FD">
      <w:pPr>
        <w:spacing w:before="100" w:beforeAutospacing="1" w:line="360" w:lineRule="auto"/>
        <w:ind w:right="140" w:firstLine="2288"/>
        <w:jc w:val="both"/>
        <w:rPr>
          <w:rFonts w:ascii="Arial" w:hAnsi="Arial" w:cs="Arial"/>
          <w:b/>
          <w:bCs/>
          <w:iCs/>
          <w:lang w:bidi="pt-BR"/>
        </w:rPr>
      </w:pPr>
      <w:r w:rsidRPr="00E9793E">
        <w:rPr>
          <w:rFonts w:ascii="Arial" w:hAnsi="Arial" w:cs="Arial"/>
        </w:rPr>
        <w:t xml:space="preserve">Segue em anexo minuta de Projeto de Lei </w:t>
      </w:r>
      <w:r w:rsidRPr="00817063">
        <w:rPr>
          <w:rFonts w:ascii="Arial" w:hAnsi="Arial" w:cs="Arial"/>
        </w:rPr>
        <w:t xml:space="preserve">que </w:t>
      </w:r>
      <w:r w:rsidR="00B020C0" w:rsidRPr="00817063">
        <w:rPr>
          <w:rFonts w:ascii="Arial" w:hAnsi="Arial" w:cs="Arial"/>
        </w:rPr>
        <w:t>“</w:t>
      </w:r>
      <w:r w:rsidR="009515FD" w:rsidRPr="009515FD">
        <w:rPr>
          <w:rFonts w:ascii="Arial" w:hAnsi="Arial" w:cs="Arial"/>
          <w:b/>
          <w:bCs/>
          <w:iCs/>
          <w:lang w:bidi="pt-BR"/>
        </w:rPr>
        <w:t>DISPÕE SOBRE A PERMISSÃO PARA EMBARQUE E DESEMBARQUE DE PASSAGEIROS COM DEFICIÊNCIA OU MOBILIDADE REDUZIDA, BEM COMO AOS IDOSOS FORA DO</w:t>
      </w:r>
      <w:r w:rsidR="009515FD">
        <w:rPr>
          <w:rFonts w:ascii="Arial" w:hAnsi="Arial" w:cs="Arial"/>
          <w:b/>
          <w:bCs/>
          <w:iCs/>
          <w:lang w:bidi="pt-BR"/>
        </w:rPr>
        <w:t>S PONTOS E DAS PARADAS OFICIAIS</w:t>
      </w:r>
      <w:r w:rsidR="00960D17" w:rsidRPr="00817063">
        <w:rPr>
          <w:rFonts w:ascii="Arial" w:hAnsi="Arial" w:cs="Arial"/>
          <w:b/>
          <w:bCs/>
          <w:lang w:bidi="pt-BR"/>
        </w:rPr>
        <w:t>.”</w:t>
      </w:r>
    </w:p>
    <w:p w:rsidR="00664643" w:rsidRPr="00664643" w:rsidRDefault="00664643" w:rsidP="00664643">
      <w:pPr>
        <w:spacing w:before="100" w:beforeAutospacing="1" w:line="360" w:lineRule="auto"/>
        <w:ind w:firstLine="2268"/>
        <w:jc w:val="both"/>
        <w:rPr>
          <w:rFonts w:ascii="Arial" w:hAnsi="Arial" w:cs="Arial"/>
          <w:lang w:bidi="pt-BR"/>
        </w:rPr>
      </w:pPr>
      <w:r w:rsidRPr="00664643">
        <w:rPr>
          <w:rFonts w:ascii="Arial" w:hAnsi="Arial" w:cs="Arial"/>
          <w:lang w:bidi="pt-BR"/>
        </w:rPr>
        <w:t>A pretensão legislativa tem o condão de minimizar as barreiras</w:t>
      </w:r>
      <w:r>
        <w:rPr>
          <w:rFonts w:ascii="Arial" w:hAnsi="Arial" w:cs="Arial"/>
          <w:lang w:bidi="pt-BR"/>
        </w:rPr>
        <w:t xml:space="preserve"> encontradas pelas pessoas com </w:t>
      </w:r>
      <w:r w:rsidRPr="00664643">
        <w:rPr>
          <w:rFonts w:ascii="Arial" w:hAnsi="Arial" w:cs="Arial"/>
          <w:lang w:bidi="pt-BR"/>
        </w:rPr>
        <w:t>deficiê</w:t>
      </w:r>
      <w:r>
        <w:rPr>
          <w:rFonts w:ascii="Arial" w:hAnsi="Arial" w:cs="Arial"/>
          <w:lang w:bidi="pt-BR"/>
        </w:rPr>
        <w:t xml:space="preserve">ncia e mobilidade reduzida, assim como aos </w:t>
      </w:r>
      <w:r w:rsidR="00B73577">
        <w:rPr>
          <w:rFonts w:ascii="Arial" w:hAnsi="Arial" w:cs="Arial"/>
          <w:lang w:bidi="pt-BR"/>
        </w:rPr>
        <w:t>idosos,</w:t>
      </w:r>
      <w:r w:rsidR="00B73577" w:rsidRPr="00664643">
        <w:rPr>
          <w:rFonts w:ascii="Arial" w:hAnsi="Arial" w:cs="Arial"/>
          <w:lang w:bidi="pt-BR"/>
        </w:rPr>
        <w:t xml:space="preserve"> com</w:t>
      </w:r>
      <w:r w:rsidRPr="00664643">
        <w:rPr>
          <w:rFonts w:ascii="Arial" w:hAnsi="Arial" w:cs="Arial"/>
          <w:lang w:bidi="pt-BR"/>
        </w:rPr>
        <w:t xml:space="preserve">  relação  ao  transporte  coletivo,  principalmente  no </w:t>
      </w:r>
      <w:r w:rsidR="00B73577">
        <w:rPr>
          <w:rFonts w:ascii="Arial" w:hAnsi="Arial" w:cs="Arial"/>
          <w:lang w:bidi="pt-BR"/>
        </w:rPr>
        <w:t xml:space="preserve">embarque </w:t>
      </w:r>
      <w:r w:rsidRPr="00664643">
        <w:rPr>
          <w:rFonts w:ascii="Arial" w:hAnsi="Arial" w:cs="Arial"/>
          <w:lang w:bidi="pt-BR"/>
        </w:rPr>
        <w:t>e  desembarque  de  passageiros,  proporcionando  maior  autonomia,  segurança  e conforto para aqueles que necessitam.</w:t>
      </w:r>
    </w:p>
    <w:p w:rsidR="00664643" w:rsidRDefault="00664643" w:rsidP="00664643">
      <w:pPr>
        <w:spacing w:before="100" w:beforeAutospacing="1" w:line="360" w:lineRule="auto"/>
        <w:ind w:firstLine="2268"/>
        <w:jc w:val="both"/>
        <w:rPr>
          <w:rFonts w:ascii="Arial" w:hAnsi="Arial" w:cs="Arial"/>
          <w:lang w:bidi="pt-BR"/>
        </w:rPr>
      </w:pPr>
      <w:r w:rsidRPr="00664643">
        <w:rPr>
          <w:rFonts w:ascii="Arial" w:hAnsi="Arial" w:cs="Arial"/>
          <w:lang w:bidi="pt-BR"/>
        </w:rPr>
        <w:t>Tal proposição encontra respaldo legal na Lei Brasileira de Inc</w:t>
      </w:r>
      <w:r>
        <w:rPr>
          <w:rFonts w:ascii="Arial" w:hAnsi="Arial" w:cs="Arial"/>
          <w:lang w:bidi="pt-BR"/>
        </w:rPr>
        <w:t xml:space="preserve">lusão (Lei nº 13.146/2015) que </w:t>
      </w:r>
      <w:r w:rsidR="00B73577" w:rsidRPr="00664643">
        <w:rPr>
          <w:rFonts w:ascii="Arial" w:hAnsi="Arial" w:cs="Arial"/>
          <w:lang w:bidi="pt-BR"/>
        </w:rPr>
        <w:t>dispõe que “</w:t>
      </w:r>
      <w:r w:rsidRPr="00664643">
        <w:rPr>
          <w:rFonts w:ascii="Arial" w:hAnsi="Arial" w:cs="Arial"/>
          <w:lang w:bidi="pt-BR"/>
        </w:rPr>
        <w:t>o  direito  ao  transporte  e  à  mobilidade  da  pessoa  com  deficiência  ou  com mobilidade reduzida será assegurado em igualdade de oportunidades com as demais pessoas, por meio de identificação e de eliminação de todos os obstáculos e barreiras ao seu sucesso.”</w:t>
      </w:r>
    </w:p>
    <w:p w:rsidR="00664643" w:rsidRPr="00664643" w:rsidRDefault="00664643" w:rsidP="00C03331">
      <w:pPr>
        <w:spacing w:before="100" w:beforeAutospacing="1" w:line="360" w:lineRule="auto"/>
        <w:ind w:firstLine="2268"/>
        <w:jc w:val="both"/>
        <w:rPr>
          <w:rFonts w:ascii="Arial" w:hAnsi="Arial" w:cs="Arial"/>
          <w:lang w:bidi="pt-BR"/>
        </w:rPr>
      </w:pPr>
      <w:r>
        <w:rPr>
          <w:rFonts w:ascii="Arial" w:hAnsi="Arial" w:cs="Arial"/>
          <w:lang w:bidi="pt-BR"/>
        </w:rPr>
        <w:t>Também encontra guarida no Estatuto do Idoso (</w:t>
      </w:r>
      <w:r w:rsidRPr="00664643">
        <w:rPr>
          <w:rFonts w:ascii="Arial" w:hAnsi="Arial" w:cs="Arial"/>
          <w:lang w:bidi="pt-BR"/>
        </w:rPr>
        <w:t>LEI N</w:t>
      </w:r>
      <w:r w:rsidRPr="00664643">
        <w:rPr>
          <w:rFonts w:ascii="Arial" w:hAnsi="Arial" w:cs="Arial"/>
          <w:vertAlign w:val="superscript"/>
          <w:lang w:bidi="pt-BR"/>
        </w:rPr>
        <w:t>o</w:t>
      </w:r>
      <w:r w:rsidRPr="00664643">
        <w:rPr>
          <w:rFonts w:ascii="Arial" w:hAnsi="Arial" w:cs="Arial"/>
          <w:lang w:bidi="pt-BR"/>
        </w:rPr>
        <w:t xml:space="preserve"> 10.741, DE 1º DE OUTUBRO DE 2003</w:t>
      </w:r>
      <w:r>
        <w:rPr>
          <w:rFonts w:ascii="Arial" w:hAnsi="Arial" w:cs="Arial"/>
          <w:lang w:bidi="pt-BR"/>
        </w:rPr>
        <w:t>), em seu artigo 42, o qual descreve “</w:t>
      </w:r>
      <w:r w:rsidRPr="00664643">
        <w:rPr>
          <w:rFonts w:ascii="Arial" w:hAnsi="Arial" w:cs="Arial"/>
          <w:lang w:bidi="pt-BR"/>
        </w:rPr>
        <w:t>São asseguradas a prioridade e a segurança do idoso nos procedimentos de embarque e desembarque nos veículos do siste</w:t>
      </w:r>
      <w:r>
        <w:rPr>
          <w:rFonts w:ascii="Arial" w:hAnsi="Arial" w:cs="Arial"/>
          <w:lang w:bidi="pt-BR"/>
        </w:rPr>
        <w:t>ma de transporte coletivo.”</w:t>
      </w:r>
      <w:hyperlink r:id="rId8" w:history="1">
        <w:r w:rsidRPr="00664643">
          <w:rPr>
            <w:rStyle w:val="Hyperlink"/>
            <w:rFonts w:ascii="Arial" w:hAnsi="Arial" w:cs="Arial"/>
            <w:color w:val="auto"/>
            <w:u w:val="none"/>
            <w:lang w:bidi="pt-BR"/>
          </w:rPr>
          <w:t>(Redação dada pela Lei nº 12.899, de 2013)</w:t>
        </w:r>
      </w:hyperlink>
    </w:p>
    <w:p w:rsidR="00664643" w:rsidRDefault="00664643" w:rsidP="00C03331">
      <w:pPr>
        <w:spacing w:before="100" w:beforeAutospacing="1" w:line="360" w:lineRule="auto"/>
        <w:ind w:firstLine="2268"/>
        <w:jc w:val="both"/>
        <w:rPr>
          <w:rFonts w:ascii="Arial" w:hAnsi="Arial" w:cs="Arial"/>
          <w:lang w:bidi="pt-BR"/>
        </w:rPr>
      </w:pPr>
      <w:r>
        <w:rPr>
          <w:rFonts w:ascii="Arial" w:hAnsi="Arial" w:cs="Arial"/>
          <w:lang w:bidi="pt-BR"/>
        </w:rPr>
        <w:t>Quanto à questão da constitucionalidade da presente proposição, saliente-se de que há jurisprudência emanada de nossos Tribunais assentando sua eficácia:</w:t>
      </w:r>
    </w:p>
    <w:p w:rsidR="00664643" w:rsidRPr="00664643" w:rsidRDefault="00664643" w:rsidP="001827A1">
      <w:pPr>
        <w:spacing w:before="100" w:beforeAutospacing="1" w:line="360" w:lineRule="auto"/>
        <w:ind w:firstLine="2268"/>
        <w:rPr>
          <w:rFonts w:ascii="Arial" w:hAnsi="Arial" w:cs="Arial"/>
        </w:rPr>
      </w:pPr>
      <w:r w:rsidRPr="00664643">
        <w:rPr>
          <w:rFonts w:ascii="Arial" w:hAnsi="Arial" w:cs="Arial"/>
          <w:shd w:val="clear" w:color="auto" w:fill="FFFFFF"/>
        </w:rPr>
        <w:lastRenderedPageBreak/>
        <w:t xml:space="preserve">O Supremo Tribunal Federal apreciando processo similar </w:t>
      </w:r>
      <w:r w:rsidRPr="00664643">
        <w:rPr>
          <w:rFonts w:ascii="Arial" w:hAnsi="Arial" w:cs="Arial"/>
          <w:b/>
          <w:u w:val="single"/>
          <w:shd w:val="clear" w:color="auto" w:fill="FFFFFF"/>
        </w:rPr>
        <w:t>afastou</w:t>
      </w:r>
      <w:r w:rsidRPr="00664643">
        <w:rPr>
          <w:rFonts w:ascii="Arial" w:hAnsi="Arial" w:cs="Arial"/>
          <w:shd w:val="clear" w:color="auto" w:fill="FFFFFF"/>
        </w:rPr>
        <w:t xml:space="preserve"> a alegação de inconstitucionalidade. Eis o teor desse valioso precedente</w:t>
      </w:r>
      <w:r w:rsidRPr="00664643">
        <w:rPr>
          <w:rFonts w:ascii="Arial" w:hAnsi="Arial" w:cs="Arial"/>
        </w:rPr>
        <w:t>:</w:t>
      </w:r>
    </w:p>
    <w:p w:rsidR="00664643" w:rsidRPr="00664643" w:rsidRDefault="00664643" w:rsidP="001827A1">
      <w:pPr>
        <w:spacing w:before="100" w:beforeAutospacing="1"/>
        <w:jc w:val="both"/>
        <w:rPr>
          <w:rFonts w:ascii="Arial" w:hAnsi="Arial" w:cs="Arial"/>
          <w:sz w:val="20"/>
          <w:szCs w:val="20"/>
        </w:rPr>
      </w:pPr>
      <w:r w:rsidRPr="00664643">
        <w:rPr>
          <w:rFonts w:ascii="Arial" w:hAnsi="Arial" w:cs="Arial"/>
          <w:sz w:val="20"/>
          <w:szCs w:val="20"/>
        </w:rPr>
        <w:t>“Vistos.</w:t>
      </w:r>
    </w:p>
    <w:p w:rsidR="00664643" w:rsidRPr="00664643" w:rsidRDefault="00664643" w:rsidP="001827A1">
      <w:pPr>
        <w:spacing w:before="100" w:beforeAutospacing="1"/>
        <w:jc w:val="both"/>
        <w:rPr>
          <w:rFonts w:ascii="Arial" w:hAnsi="Arial" w:cs="Arial"/>
          <w:sz w:val="20"/>
          <w:szCs w:val="20"/>
        </w:rPr>
      </w:pPr>
      <w:r w:rsidRPr="00664643">
        <w:rPr>
          <w:rFonts w:ascii="Arial" w:hAnsi="Arial" w:cs="Arial"/>
          <w:sz w:val="20"/>
          <w:szCs w:val="20"/>
        </w:rPr>
        <w:t xml:space="preserve">    O SINDICATO DAS EMPRESAS DE TRANSPORTE DE PASSAGEIROS DO ESTADO DE SÃO PAULO – SEPTESP interpõe recurso extraordinário, com fundamento nas alíneas ‘a’, ‘c’ e ‘d’, do permissivo constitucional, contra acórdão do Órgão Especial do Tribunal de Justiça paulista, assim ementado:</w:t>
      </w:r>
    </w:p>
    <w:p w:rsidR="00664643" w:rsidRPr="00664643" w:rsidRDefault="00664643" w:rsidP="001827A1">
      <w:pPr>
        <w:spacing w:before="100" w:beforeAutospacing="1"/>
        <w:jc w:val="both"/>
        <w:rPr>
          <w:rFonts w:ascii="Arial" w:hAnsi="Arial" w:cs="Arial"/>
          <w:sz w:val="20"/>
          <w:szCs w:val="20"/>
        </w:rPr>
      </w:pPr>
      <w:r w:rsidRPr="00664643">
        <w:rPr>
          <w:rFonts w:ascii="Arial" w:hAnsi="Arial" w:cs="Arial"/>
          <w:sz w:val="20"/>
          <w:szCs w:val="20"/>
        </w:rPr>
        <w:t xml:space="preserve">    ‘Ação Direta de Inconstitucionalidade - Lei nº 2.520 de 29 de dezembro de 1989 que disciplina o transporte gratuito de idosos, aposentados e pensionistas, e Lei nº 4.199 de 12 de agosto de 2005 que dispensa a parada de ônibus urbanos nos pontos normais de parada de embarque e desembarque de passageiros para portadores de deficiência física, ambas do Município de Mogi Guaçu – Não existência de reserva do Poder Executivo para sua iniciativa – Constitucionalidade reconhecida – Ação improcedente’ (fl. 174).</w:t>
      </w:r>
    </w:p>
    <w:p w:rsidR="00664643" w:rsidRPr="00664643" w:rsidRDefault="00664643" w:rsidP="001827A1">
      <w:pPr>
        <w:spacing w:before="100" w:beforeAutospacing="1"/>
        <w:jc w:val="both"/>
        <w:rPr>
          <w:rFonts w:ascii="Arial" w:hAnsi="Arial" w:cs="Arial"/>
          <w:sz w:val="20"/>
          <w:szCs w:val="20"/>
        </w:rPr>
      </w:pPr>
      <w:r w:rsidRPr="00664643">
        <w:rPr>
          <w:rFonts w:ascii="Arial" w:hAnsi="Arial" w:cs="Arial"/>
          <w:sz w:val="20"/>
          <w:szCs w:val="20"/>
        </w:rPr>
        <w:t xml:space="preserve">    Opostos embargos de declaração (fls. 119 a 195), foram rejeitados (fls. 203 a 207).</w:t>
      </w:r>
    </w:p>
    <w:p w:rsidR="00664643" w:rsidRPr="00664643" w:rsidRDefault="00664643" w:rsidP="001827A1">
      <w:pPr>
        <w:spacing w:before="100" w:beforeAutospacing="1"/>
        <w:jc w:val="both"/>
        <w:rPr>
          <w:rFonts w:ascii="Arial" w:hAnsi="Arial" w:cs="Arial"/>
          <w:sz w:val="20"/>
          <w:szCs w:val="20"/>
        </w:rPr>
      </w:pPr>
      <w:r w:rsidRPr="00664643">
        <w:rPr>
          <w:rFonts w:ascii="Arial" w:hAnsi="Arial" w:cs="Arial"/>
          <w:sz w:val="20"/>
          <w:szCs w:val="20"/>
        </w:rPr>
        <w:t xml:space="preserve">    Alega o recorrente violação dos artigos 2º, 5º, inciso XXXVI, 29 e 37, inciso XXI, da Constituição Federal, consubstanciada pelo ausência do reconhecimento das apontadas inconstitucionalidades de leis municipais, que padeceriam de vício de iniciativa e imporiam desequilíbrio econômico-financeiro nos contratos celebrados com as empresas concessionárias do serviço público em tela.</w:t>
      </w:r>
    </w:p>
    <w:p w:rsidR="00664643" w:rsidRPr="00664643" w:rsidRDefault="00664643" w:rsidP="001827A1">
      <w:pPr>
        <w:spacing w:before="100" w:beforeAutospacing="1"/>
        <w:jc w:val="both"/>
        <w:rPr>
          <w:rFonts w:ascii="Arial" w:hAnsi="Arial" w:cs="Arial"/>
          <w:sz w:val="20"/>
          <w:szCs w:val="20"/>
        </w:rPr>
      </w:pPr>
      <w:r w:rsidRPr="00664643">
        <w:rPr>
          <w:rFonts w:ascii="Arial" w:hAnsi="Arial" w:cs="Arial"/>
          <w:sz w:val="20"/>
          <w:szCs w:val="20"/>
        </w:rPr>
        <w:t xml:space="preserve">    Depois de apresentadas contrarrazões (fls. 285 a 297), o recurso extraordinário (fls. 251 a 279) foi admitido, na origem (fls. 335 a 337), subindo os autos a esta Suprema Corte.</w:t>
      </w:r>
    </w:p>
    <w:p w:rsidR="00664643" w:rsidRPr="00664643" w:rsidRDefault="00664643" w:rsidP="001827A1">
      <w:pPr>
        <w:spacing w:before="100" w:beforeAutospacing="1"/>
        <w:jc w:val="both"/>
        <w:rPr>
          <w:rFonts w:ascii="Arial" w:hAnsi="Arial" w:cs="Arial"/>
          <w:sz w:val="20"/>
          <w:szCs w:val="20"/>
        </w:rPr>
      </w:pPr>
      <w:r w:rsidRPr="00664643">
        <w:rPr>
          <w:rFonts w:ascii="Arial" w:hAnsi="Arial" w:cs="Arial"/>
          <w:sz w:val="20"/>
          <w:szCs w:val="20"/>
        </w:rPr>
        <w:t xml:space="preserve">    O recurso especial paralelamente interposto já foi definitivamente rejeitado pelo Superior Tribunal de Justiça (fls. 342 a 381).</w:t>
      </w:r>
    </w:p>
    <w:p w:rsidR="00664643" w:rsidRPr="00664643" w:rsidRDefault="00664643" w:rsidP="001827A1">
      <w:pPr>
        <w:spacing w:before="100" w:beforeAutospacing="1"/>
        <w:jc w:val="both"/>
        <w:rPr>
          <w:rFonts w:ascii="Arial" w:hAnsi="Arial" w:cs="Arial"/>
          <w:sz w:val="20"/>
          <w:szCs w:val="20"/>
        </w:rPr>
      </w:pPr>
      <w:r w:rsidRPr="00664643">
        <w:rPr>
          <w:rFonts w:ascii="Arial" w:hAnsi="Arial" w:cs="Arial"/>
          <w:sz w:val="20"/>
          <w:szCs w:val="20"/>
        </w:rPr>
        <w:t xml:space="preserve">    O parecer da douta Procuradoria-Geral da República é pelo provimento do recurso (fls. 387 a 389).</w:t>
      </w:r>
    </w:p>
    <w:p w:rsidR="00664643" w:rsidRPr="00664643" w:rsidRDefault="00664643" w:rsidP="001827A1">
      <w:pPr>
        <w:spacing w:before="100" w:beforeAutospacing="1"/>
        <w:jc w:val="both"/>
        <w:rPr>
          <w:rFonts w:ascii="Arial" w:hAnsi="Arial" w:cs="Arial"/>
          <w:sz w:val="20"/>
          <w:szCs w:val="20"/>
        </w:rPr>
      </w:pPr>
      <w:r w:rsidRPr="00664643">
        <w:rPr>
          <w:rFonts w:ascii="Arial" w:hAnsi="Arial" w:cs="Arial"/>
          <w:sz w:val="20"/>
          <w:szCs w:val="20"/>
        </w:rPr>
        <w:t xml:space="preserve">    Decido.</w:t>
      </w:r>
    </w:p>
    <w:p w:rsidR="00664643" w:rsidRPr="00664643" w:rsidRDefault="00664643" w:rsidP="001827A1">
      <w:pPr>
        <w:spacing w:before="100" w:beforeAutospacing="1"/>
        <w:jc w:val="both"/>
        <w:rPr>
          <w:rFonts w:ascii="Arial" w:hAnsi="Arial" w:cs="Arial"/>
          <w:sz w:val="20"/>
          <w:szCs w:val="20"/>
        </w:rPr>
      </w:pPr>
      <w:r w:rsidRPr="00664643">
        <w:rPr>
          <w:rFonts w:ascii="Arial" w:hAnsi="Arial" w:cs="Arial"/>
          <w:sz w:val="20"/>
          <w:szCs w:val="20"/>
        </w:rPr>
        <w:t xml:space="preserve">    Anote-se, inicialmente, que o acórdão dos embargos de declaração foi publicado em 1/2/07, conforme expresso na certidão de folha 209, não sendo exigível a demonstração da existência de repercussão geral das questões constitucionais trazidas no recurso extraordinário, conforme decidido na Questão de Ordem no Agravo de Instrumento nº 664.567/RS, Pleno, Relator o Ministro Sepúlveda Pertence, DJ de 6/9/07.</w:t>
      </w:r>
    </w:p>
    <w:p w:rsidR="00664643" w:rsidRPr="00664643" w:rsidRDefault="00664643" w:rsidP="001827A1">
      <w:pPr>
        <w:spacing w:before="100" w:beforeAutospacing="1"/>
        <w:jc w:val="both"/>
        <w:rPr>
          <w:rFonts w:ascii="Arial" w:hAnsi="Arial" w:cs="Arial"/>
          <w:sz w:val="20"/>
          <w:szCs w:val="20"/>
        </w:rPr>
      </w:pPr>
      <w:r w:rsidRPr="00664643">
        <w:rPr>
          <w:rFonts w:ascii="Arial" w:hAnsi="Arial" w:cs="Arial"/>
          <w:sz w:val="20"/>
          <w:szCs w:val="20"/>
        </w:rPr>
        <w:t xml:space="preserve">    A irresignação, contudo, não merece prosperar.</w:t>
      </w:r>
    </w:p>
    <w:p w:rsidR="00664643" w:rsidRPr="00664643" w:rsidRDefault="00664643" w:rsidP="001827A1">
      <w:pPr>
        <w:spacing w:before="100" w:beforeAutospacing="1"/>
        <w:jc w:val="both"/>
        <w:rPr>
          <w:rFonts w:ascii="Arial" w:hAnsi="Arial" w:cs="Arial"/>
          <w:sz w:val="20"/>
          <w:szCs w:val="20"/>
        </w:rPr>
      </w:pPr>
      <w:r w:rsidRPr="00664643">
        <w:rPr>
          <w:rFonts w:ascii="Arial" w:hAnsi="Arial" w:cs="Arial"/>
          <w:sz w:val="20"/>
          <w:szCs w:val="20"/>
        </w:rPr>
        <w:lastRenderedPageBreak/>
        <w:t xml:space="preserve">    O Tribunal de origem assentou não serem inconstitucionais as Leis nºs 2.520/89 e 4.199/05, do Município de Mogi Guaçu, sob o fundamento de que ao referido município seria possível editar legislação sobre esse tema, sendo certo ainda, que eventual diploma nesse sentido editado poderia decorrer de iniciativa parlamentar.</w:t>
      </w:r>
    </w:p>
    <w:p w:rsidR="00664643" w:rsidRPr="00664643" w:rsidRDefault="00664643" w:rsidP="001827A1">
      <w:pPr>
        <w:spacing w:before="100" w:beforeAutospacing="1"/>
        <w:jc w:val="both"/>
        <w:rPr>
          <w:rFonts w:ascii="Arial" w:hAnsi="Arial" w:cs="Arial"/>
          <w:sz w:val="20"/>
          <w:szCs w:val="20"/>
        </w:rPr>
      </w:pPr>
      <w:r w:rsidRPr="00664643">
        <w:rPr>
          <w:rFonts w:ascii="Arial" w:hAnsi="Arial" w:cs="Arial"/>
          <w:sz w:val="20"/>
          <w:szCs w:val="20"/>
        </w:rPr>
        <w:t xml:space="preserve">    Com efeito, tal entendimento está em sintonia com a jurisprudência desta Corte no sentido de que os municípios podem legislar sobre assuntos de interesse local, destacando-se que o transporte coletivo de passageiros no âmbito de seus respectivos territórios inegavelmente se insere dentro dessa qualificação.</w:t>
      </w:r>
    </w:p>
    <w:p w:rsidR="00664643" w:rsidRPr="00664643" w:rsidRDefault="00664643" w:rsidP="001827A1">
      <w:pPr>
        <w:spacing w:before="100" w:beforeAutospacing="1"/>
        <w:jc w:val="both"/>
        <w:rPr>
          <w:rFonts w:ascii="Arial" w:hAnsi="Arial" w:cs="Arial"/>
          <w:sz w:val="20"/>
          <w:szCs w:val="20"/>
        </w:rPr>
      </w:pPr>
      <w:r w:rsidRPr="00664643">
        <w:rPr>
          <w:rFonts w:ascii="Arial" w:hAnsi="Arial" w:cs="Arial"/>
          <w:sz w:val="20"/>
          <w:szCs w:val="20"/>
        </w:rPr>
        <w:t xml:space="preserve">    Nesse sentido, citem-se os seguintes trechos de precedentes do Plenário desta Suprema Corte, assim dispondo:</w:t>
      </w:r>
    </w:p>
    <w:p w:rsidR="00664643" w:rsidRPr="00664643" w:rsidRDefault="00664643" w:rsidP="001827A1">
      <w:pPr>
        <w:spacing w:before="100" w:beforeAutospacing="1"/>
        <w:jc w:val="both"/>
        <w:rPr>
          <w:rFonts w:ascii="Arial" w:hAnsi="Arial" w:cs="Arial"/>
          <w:sz w:val="20"/>
          <w:szCs w:val="20"/>
        </w:rPr>
      </w:pPr>
      <w:r w:rsidRPr="00664643">
        <w:rPr>
          <w:rFonts w:ascii="Arial" w:hAnsi="Arial" w:cs="Arial"/>
          <w:sz w:val="20"/>
          <w:szCs w:val="20"/>
        </w:rPr>
        <w:t xml:space="preserve">    ‘(...) 1. A Constituição do Brasil estabelece, no que tange à repartição de competência entre os entes federados, que os assuntos de interesse local competem aos Municípios. Competência residual dos Estados-membros --- matérias que não lhes foram vedadas pela Constituição, nem estiverem contidas entre as competências da União ou dos Municípios. 2. A competência para organizar serviços públicos de interesse local é municipal, entre os quais o de transporte coletivo [artigo 30, inciso V, da CB/88] (...)’ (ADI nº 845/AP, Relator o Ministro Eros Grau, DJe de 7/3/08).</w:t>
      </w:r>
    </w:p>
    <w:p w:rsidR="00664643" w:rsidRPr="00664643" w:rsidRDefault="00664643" w:rsidP="001827A1">
      <w:pPr>
        <w:spacing w:before="100" w:beforeAutospacing="1"/>
        <w:jc w:val="both"/>
        <w:rPr>
          <w:rFonts w:ascii="Arial" w:hAnsi="Arial" w:cs="Arial"/>
          <w:sz w:val="20"/>
          <w:szCs w:val="20"/>
        </w:rPr>
      </w:pPr>
      <w:r w:rsidRPr="00664643">
        <w:rPr>
          <w:rFonts w:ascii="Arial" w:hAnsi="Arial" w:cs="Arial"/>
          <w:sz w:val="20"/>
          <w:szCs w:val="20"/>
        </w:rPr>
        <w:t xml:space="preserve">    ‘(...) A Carta de 1988 estabelece as esferas de competência dos entes federados para a definição das linhas de transporte coletivo de passageiros, cabendo aos Estados as intermunicipais e aos Municípios as intramunicipais, nada impedindo, obviamente, que o serviço de transporte intermunicipal se exerça no território municipal, utilizando-se, mesmo, de logradouros que também servem de itinerário para o transporte local (...)’ (RE nº 107.337-EDv/RJ, Relator para o acórdão o Ministro Ilmar Galvão, DJ de 8/6/01).</w:t>
      </w:r>
    </w:p>
    <w:p w:rsidR="00664643" w:rsidRPr="00664643" w:rsidRDefault="00664643" w:rsidP="001827A1">
      <w:pPr>
        <w:spacing w:before="100" w:beforeAutospacing="1"/>
        <w:jc w:val="both"/>
        <w:rPr>
          <w:rFonts w:ascii="Arial" w:hAnsi="Arial" w:cs="Arial"/>
          <w:b/>
          <w:sz w:val="20"/>
          <w:szCs w:val="20"/>
          <w:u w:val="single"/>
        </w:rPr>
      </w:pPr>
      <w:r w:rsidRPr="00664643">
        <w:rPr>
          <w:rFonts w:ascii="Arial" w:hAnsi="Arial" w:cs="Arial"/>
          <w:sz w:val="20"/>
          <w:szCs w:val="20"/>
        </w:rPr>
        <w:t xml:space="preserve">    </w:t>
      </w:r>
      <w:r w:rsidRPr="00664643">
        <w:rPr>
          <w:rFonts w:ascii="Arial" w:hAnsi="Arial" w:cs="Arial"/>
          <w:b/>
          <w:sz w:val="20"/>
          <w:szCs w:val="20"/>
          <w:u w:val="single"/>
        </w:rPr>
        <w:t>E tampouco há que se falar em vício de iniciativa quanto à origem dessas leis, pois nenhuma delas interfere na administração pública municipal, pois se limitam, respectivamente, a disciplinar a concessão de identificação aos portadores de gratuidade legal para uso de meio de transporte público e a permitir que coletivos parem em locais diversos dos demarcados, para desembarque de passageiros portadores de deficiência.</w:t>
      </w:r>
    </w:p>
    <w:p w:rsidR="00664643" w:rsidRPr="00664643" w:rsidRDefault="00664643" w:rsidP="001827A1">
      <w:pPr>
        <w:spacing w:before="100" w:beforeAutospacing="1"/>
        <w:jc w:val="both"/>
        <w:rPr>
          <w:rFonts w:ascii="Arial" w:hAnsi="Arial" w:cs="Arial"/>
          <w:b/>
          <w:sz w:val="20"/>
          <w:szCs w:val="20"/>
          <w:u w:val="single"/>
        </w:rPr>
      </w:pPr>
      <w:r w:rsidRPr="00664643">
        <w:rPr>
          <w:rFonts w:ascii="Arial" w:hAnsi="Arial" w:cs="Arial"/>
          <w:b/>
          <w:sz w:val="20"/>
          <w:szCs w:val="20"/>
          <w:u w:val="single"/>
        </w:rPr>
        <w:t xml:space="preserve">    Ora, tais diplomas legais em nada interferem com a administração pública, concernente ao transporte coletivo de passageiros, no âmbito do município de Mogi Guaçu, pois não impõem obrigações ao Chefe do Poder Executivo Municipal sobre o tema, tampouco disciplinam, de forma diversa à anteriormente existente, a forma de prestação desse serviço público, naquela cidade.</w:t>
      </w:r>
    </w:p>
    <w:p w:rsidR="00664643" w:rsidRPr="00664643" w:rsidRDefault="00664643" w:rsidP="001827A1">
      <w:pPr>
        <w:spacing w:before="100" w:beforeAutospacing="1"/>
        <w:jc w:val="both"/>
        <w:rPr>
          <w:rFonts w:ascii="Arial" w:hAnsi="Arial" w:cs="Arial"/>
          <w:b/>
          <w:sz w:val="20"/>
          <w:szCs w:val="20"/>
          <w:u w:val="single"/>
        </w:rPr>
      </w:pPr>
      <w:r w:rsidRPr="00664643">
        <w:rPr>
          <w:rFonts w:ascii="Arial" w:hAnsi="Arial" w:cs="Arial"/>
          <w:b/>
          <w:sz w:val="20"/>
          <w:szCs w:val="20"/>
          <w:u w:val="single"/>
        </w:rPr>
        <w:t xml:space="preserve">    Tampouco se pode afirmar que essas leis representam alguma ameaça ao equilíbrio econômico-financeiro do contrato celebrado com as concessionárias do serviço público em tela, pois, conforme bem destacado pelo acórdão atacado, a Lei local nº 2.590/89 encontrava-se em vigor há mais de 15 anos, quando do ajuizamento da presente ação, sem que se tivesse notícia da existência de problemas desse tipo, com relação a seu cumprimento.</w:t>
      </w:r>
      <w:r w:rsidR="001827A1">
        <w:rPr>
          <w:rFonts w:ascii="Arial" w:hAnsi="Arial" w:cs="Arial"/>
          <w:b/>
          <w:sz w:val="20"/>
          <w:szCs w:val="20"/>
          <w:u w:val="single"/>
        </w:rPr>
        <w:t xml:space="preserve"> (GRIFO)</w:t>
      </w:r>
    </w:p>
    <w:p w:rsidR="00664643" w:rsidRPr="00664643" w:rsidRDefault="00664643" w:rsidP="001827A1">
      <w:pPr>
        <w:spacing w:before="100" w:beforeAutospacing="1"/>
        <w:jc w:val="both"/>
        <w:rPr>
          <w:rFonts w:ascii="Arial" w:hAnsi="Arial" w:cs="Arial"/>
          <w:sz w:val="20"/>
          <w:szCs w:val="20"/>
        </w:rPr>
      </w:pPr>
      <w:r w:rsidRPr="00664643">
        <w:rPr>
          <w:rFonts w:ascii="Arial" w:hAnsi="Arial" w:cs="Arial"/>
          <w:sz w:val="20"/>
          <w:szCs w:val="20"/>
        </w:rPr>
        <w:t xml:space="preserve">    Correta, pois, a decisão regional, a não merecer reparos.</w:t>
      </w:r>
    </w:p>
    <w:p w:rsidR="00664643" w:rsidRPr="00664643" w:rsidRDefault="00664643" w:rsidP="001827A1">
      <w:pPr>
        <w:spacing w:before="100" w:beforeAutospacing="1"/>
        <w:jc w:val="both"/>
      </w:pPr>
      <w:r w:rsidRPr="00664643">
        <w:rPr>
          <w:rFonts w:ascii="Arial" w:hAnsi="Arial" w:cs="Arial"/>
          <w:sz w:val="20"/>
          <w:szCs w:val="20"/>
        </w:rPr>
        <w:lastRenderedPageBreak/>
        <w:t xml:space="preserve">    Ante o exposto, nego provimento ao recurso extraordinário” (STF, </w:t>
      </w:r>
      <w:r w:rsidRPr="001827A1">
        <w:rPr>
          <w:rFonts w:ascii="Arial" w:hAnsi="Arial" w:cs="Arial"/>
          <w:sz w:val="20"/>
          <w:szCs w:val="20"/>
        </w:rPr>
        <w:t xml:space="preserve">RE 573.040-SP, </w:t>
      </w:r>
      <w:r w:rsidRPr="00664643">
        <w:rPr>
          <w:rFonts w:ascii="Arial" w:hAnsi="Arial" w:cs="Arial"/>
          <w:sz w:val="20"/>
          <w:szCs w:val="20"/>
        </w:rPr>
        <w:t xml:space="preserve"> </w:t>
      </w:r>
      <w:r w:rsidRPr="00664643">
        <w:rPr>
          <w:rFonts w:ascii="Arial" w:hAnsi="Arial" w:cs="Arial"/>
          <w:sz w:val="20"/>
          <w:szCs w:val="20"/>
        </w:rPr>
        <w:br/>
      </w:r>
      <w:r w:rsidRPr="001827A1">
        <w:rPr>
          <w:rFonts w:ascii="Arial" w:hAnsi="Arial" w:cs="Arial"/>
          <w:sz w:val="20"/>
          <w:szCs w:val="20"/>
        </w:rPr>
        <w:t xml:space="preserve">Rel.  Min. Dias Toffoli, 29-11-2011, </w:t>
      </w:r>
      <w:r w:rsidRPr="00664643">
        <w:rPr>
          <w:rFonts w:ascii="Arial" w:hAnsi="Arial" w:cs="Arial"/>
          <w:sz w:val="20"/>
          <w:szCs w:val="20"/>
        </w:rPr>
        <w:t>DJe 06-12-2011).</w:t>
      </w:r>
    </w:p>
    <w:p w:rsidR="001827A1" w:rsidRDefault="001827A1" w:rsidP="001827A1">
      <w:pPr>
        <w:spacing w:before="100" w:beforeAutospacing="1" w:line="360" w:lineRule="auto"/>
        <w:ind w:firstLine="2268"/>
        <w:jc w:val="both"/>
        <w:rPr>
          <w:rFonts w:ascii="Arial" w:hAnsi="Arial" w:cs="Arial"/>
          <w:lang w:bidi="pt-BR"/>
        </w:rPr>
      </w:pPr>
      <w:r w:rsidRPr="001827A1">
        <w:rPr>
          <w:rFonts w:ascii="Arial" w:hAnsi="Arial" w:cs="Arial"/>
        </w:rPr>
        <w:t>Aliás, a Suprema Corte enfatizou que “a</w:t>
      </w:r>
      <w:r w:rsidRPr="001827A1">
        <w:rPr>
          <w:rFonts w:ascii="Arial" w:hAnsi="Arial" w:cs="Arial"/>
          <w:shd w:val="clear" w:color="auto" w:fill="FFFFFF"/>
        </w:rPr>
        <w:t xml:space="preserve"> matéria atinente às licitações e aos contratos administrativos não foi expressamente incluída no rol submetido à iniciativa legislativa exclusiva do Chefe do Poder Executivo (CRFB, art. 61, §1º, II), sendo, portanto, plenamente suscetível de regramento por lei oriunda de projeto iniciado por qualquer dos membros do Poder Legislativo” (STF, ADI 3.059-RS, Tribunal Pleno, Rel. Min. Luiz Fux, 09-04-2015, v.u., DJe 08-05-2015).</w:t>
      </w:r>
    </w:p>
    <w:p w:rsidR="00664643" w:rsidRDefault="001827A1" w:rsidP="00C03331">
      <w:pPr>
        <w:spacing w:before="100" w:beforeAutospacing="1" w:line="360" w:lineRule="auto"/>
        <w:ind w:firstLine="2268"/>
        <w:jc w:val="both"/>
        <w:rPr>
          <w:rFonts w:ascii="Arial" w:hAnsi="Arial" w:cs="Arial"/>
          <w:lang w:bidi="pt-BR"/>
        </w:rPr>
      </w:pPr>
      <w:r>
        <w:rPr>
          <w:rFonts w:ascii="Arial" w:hAnsi="Arial" w:cs="Arial"/>
          <w:lang w:bidi="pt-BR"/>
        </w:rPr>
        <w:t>O Tribunal de Justiça do Estado de São Paulo, em recentíssimo julgado, assevera do seguinte entendimento:</w:t>
      </w:r>
    </w:p>
    <w:p w:rsidR="00664643" w:rsidRDefault="00131A76" w:rsidP="00131A76">
      <w:pPr>
        <w:spacing w:before="100" w:beforeAutospacing="1" w:line="360" w:lineRule="auto"/>
        <w:ind w:firstLine="2268"/>
        <w:jc w:val="both"/>
        <w:rPr>
          <w:rFonts w:ascii="Arial" w:hAnsi="Arial" w:cs="Arial"/>
          <w:lang w:bidi="pt-BR"/>
        </w:rPr>
      </w:pPr>
      <w:r w:rsidRPr="00131A76">
        <w:rPr>
          <w:rFonts w:ascii="Arial" w:hAnsi="Arial" w:cs="Arial"/>
          <w:lang w:bidi="pt-BR"/>
        </w:rPr>
        <w:t>Ação Direta</w:t>
      </w:r>
      <w:r w:rsidRPr="00131A76">
        <w:rPr>
          <w:rFonts w:ascii="Arial" w:hAnsi="Arial" w:cs="Arial"/>
          <w:lang w:bidi="pt-BR"/>
        </w:rPr>
        <w:t xml:space="preserve">  d</w:t>
      </w:r>
      <w:r>
        <w:rPr>
          <w:rFonts w:ascii="Arial" w:hAnsi="Arial" w:cs="Arial"/>
          <w:lang w:bidi="pt-BR"/>
        </w:rPr>
        <w:t xml:space="preserve">e  Inconstitucionalidade.  Lei </w:t>
      </w:r>
      <w:r w:rsidRPr="00131A76">
        <w:rPr>
          <w:rFonts w:ascii="Arial" w:hAnsi="Arial" w:cs="Arial"/>
          <w:lang w:bidi="pt-BR"/>
        </w:rPr>
        <w:t xml:space="preserve">Municipal  nº  2.278  de </w:t>
      </w:r>
      <w:r>
        <w:rPr>
          <w:rFonts w:ascii="Arial" w:hAnsi="Arial" w:cs="Arial"/>
          <w:lang w:bidi="pt-BR"/>
        </w:rPr>
        <w:t xml:space="preserve"> 15  de  junho  de  2018,  que </w:t>
      </w:r>
      <w:r w:rsidRPr="00131A76">
        <w:rPr>
          <w:rFonts w:ascii="Arial" w:hAnsi="Arial" w:cs="Arial"/>
          <w:lang w:bidi="pt-BR"/>
        </w:rPr>
        <w:t>dispõe  sobre  o</w:t>
      </w:r>
      <w:r>
        <w:rPr>
          <w:rFonts w:ascii="Arial" w:hAnsi="Arial" w:cs="Arial"/>
          <w:lang w:bidi="pt-BR"/>
        </w:rPr>
        <w:t xml:space="preserve">  embarque  e  desembarque  de </w:t>
      </w:r>
      <w:r w:rsidRPr="00131A76">
        <w:rPr>
          <w:rFonts w:ascii="Arial" w:hAnsi="Arial" w:cs="Arial"/>
          <w:lang w:bidi="pt-BR"/>
        </w:rPr>
        <w:t>pessoas  idosas  acima</w:t>
      </w:r>
      <w:r>
        <w:rPr>
          <w:rFonts w:ascii="Arial" w:hAnsi="Arial" w:cs="Arial"/>
          <w:lang w:bidi="pt-BR"/>
        </w:rPr>
        <w:t xml:space="preserve">  de  60  anos  de  idade  nos </w:t>
      </w:r>
      <w:r w:rsidRPr="00131A76">
        <w:rPr>
          <w:rFonts w:ascii="Arial" w:hAnsi="Arial" w:cs="Arial"/>
          <w:lang w:bidi="pt-BR"/>
        </w:rPr>
        <w:t>veículos  de  tr</w:t>
      </w:r>
      <w:r>
        <w:rPr>
          <w:rFonts w:ascii="Arial" w:hAnsi="Arial" w:cs="Arial"/>
          <w:lang w:bidi="pt-BR"/>
        </w:rPr>
        <w:t xml:space="preserve">ansporte  coletivo  urbano  no </w:t>
      </w:r>
      <w:r w:rsidRPr="00131A76">
        <w:rPr>
          <w:rFonts w:ascii="Arial" w:hAnsi="Arial" w:cs="Arial"/>
          <w:lang w:bidi="pt-BR"/>
        </w:rPr>
        <w:t>município  de  Cravinho</w:t>
      </w:r>
      <w:r>
        <w:rPr>
          <w:rFonts w:ascii="Arial" w:hAnsi="Arial" w:cs="Arial"/>
          <w:lang w:bidi="pt-BR"/>
        </w:rPr>
        <w:t xml:space="preserve">s.  Lei  Municipal  que  cuida </w:t>
      </w:r>
      <w:r w:rsidRPr="00131A76">
        <w:rPr>
          <w:rFonts w:ascii="Arial" w:hAnsi="Arial" w:cs="Arial"/>
          <w:lang w:bidi="pt-BR"/>
        </w:rPr>
        <w:t>de  matéria  de  i</w:t>
      </w:r>
      <w:r>
        <w:rPr>
          <w:rFonts w:ascii="Arial" w:hAnsi="Arial" w:cs="Arial"/>
          <w:lang w:bidi="pt-BR"/>
        </w:rPr>
        <w:t xml:space="preserve">nteresse  local,  sem  nenhuma </w:t>
      </w:r>
      <w:r w:rsidRPr="00131A76">
        <w:rPr>
          <w:rFonts w:ascii="Arial" w:hAnsi="Arial" w:cs="Arial"/>
          <w:lang w:bidi="pt-BR"/>
        </w:rPr>
        <w:t xml:space="preserve">relação  com  matéria </w:t>
      </w:r>
      <w:r>
        <w:rPr>
          <w:rFonts w:ascii="Arial" w:hAnsi="Arial" w:cs="Arial"/>
          <w:lang w:bidi="pt-BR"/>
        </w:rPr>
        <w:t xml:space="preserve"> estritamente  administrativa, </w:t>
      </w:r>
      <w:r w:rsidRPr="00131A76">
        <w:rPr>
          <w:rFonts w:ascii="Arial" w:hAnsi="Arial" w:cs="Arial"/>
          <w:lang w:bidi="pt-BR"/>
        </w:rPr>
        <w:t>afeta  exclusivamente</w:t>
      </w:r>
      <w:r>
        <w:rPr>
          <w:rFonts w:ascii="Arial" w:hAnsi="Arial" w:cs="Arial"/>
          <w:lang w:bidi="pt-BR"/>
        </w:rPr>
        <w:t xml:space="preserve">  ao  Poder  Executivo,  razão </w:t>
      </w:r>
      <w:r w:rsidRPr="00131A76">
        <w:rPr>
          <w:rFonts w:ascii="Arial" w:hAnsi="Arial" w:cs="Arial"/>
          <w:lang w:bidi="pt-BR"/>
        </w:rPr>
        <w:t>pela  qual  escorr</w:t>
      </w:r>
      <w:r>
        <w:rPr>
          <w:rFonts w:ascii="Arial" w:hAnsi="Arial" w:cs="Arial"/>
          <w:lang w:bidi="pt-BR"/>
        </w:rPr>
        <w:t xml:space="preserve">eita  a  iniciativa  do  Poder </w:t>
      </w:r>
      <w:r w:rsidRPr="00131A76">
        <w:rPr>
          <w:rFonts w:ascii="Arial" w:hAnsi="Arial" w:cs="Arial"/>
          <w:lang w:bidi="pt-BR"/>
        </w:rPr>
        <w:t xml:space="preserve">Legislativo.  Ausência  de </w:t>
      </w:r>
      <w:r>
        <w:rPr>
          <w:rFonts w:ascii="Arial" w:hAnsi="Arial" w:cs="Arial"/>
          <w:lang w:bidi="pt-BR"/>
        </w:rPr>
        <w:t xml:space="preserve"> vício  de  iniciativa  ou  de </w:t>
      </w:r>
      <w:r w:rsidRPr="00131A76">
        <w:rPr>
          <w:rFonts w:ascii="Arial" w:hAnsi="Arial" w:cs="Arial"/>
          <w:lang w:bidi="pt-BR"/>
        </w:rPr>
        <w:t>afronta  à  reserva  administrativa.  Apl</w:t>
      </w:r>
      <w:r>
        <w:rPr>
          <w:rFonts w:ascii="Arial" w:hAnsi="Arial" w:cs="Arial"/>
          <w:lang w:bidi="pt-BR"/>
        </w:rPr>
        <w:t xml:space="preserve">icação  do </w:t>
      </w:r>
      <w:r w:rsidRPr="00131A76">
        <w:rPr>
          <w:rFonts w:ascii="Arial" w:hAnsi="Arial" w:cs="Arial"/>
          <w:lang w:bidi="pt-BR"/>
        </w:rPr>
        <w:t>tema  917  ass</w:t>
      </w:r>
      <w:r>
        <w:rPr>
          <w:rFonts w:ascii="Arial" w:hAnsi="Arial" w:cs="Arial"/>
          <w:lang w:bidi="pt-BR"/>
        </w:rPr>
        <w:t xml:space="preserve">entado  em  repercussão  geral. </w:t>
      </w:r>
      <w:r w:rsidRPr="00131A76">
        <w:rPr>
          <w:rFonts w:ascii="Arial" w:hAnsi="Arial" w:cs="Arial"/>
          <w:lang w:bidi="pt-BR"/>
        </w:rPr>
        <w:t>Também  não  há  q</w:t>
      </w:r>
      <w:r>
        <w:rPr>
          <w:rFonts w:ascii="Arial" w:hAnsi="Arial" w:cs="Arial"/>
          <w:lang w:bidi="pt-BR"/>
        </w:rPr>
        <w:t xml:space="preserve">ue  se  falar  em  criação  de </w:t>
      </w:r>
      <w:r w:rsidRPr="00131A76">
        <w:rPr>
          <w:rFonts w:ascii="Arial" w:hAnsi="Arial" w:cs="Arial"/>
          <w:lang w:bidi="pt-BR"/>
        </w:rPr>
        <w:t xml:space="preserve">despesas  ao  erário  </w:t>
      </w:r>
      <w:r>
        <w:rPr>
          <w:rFonts w:ascii="Arial" w:hAnsi="Arial" w:cs="Arial"/>
          <w:lang w:bidi="pt-BR"/>
        </w:rPr>
        <w:t xml:space="preserve">Municipal  ou  de  invasão  na </w:t>
      </w:r>
      <w:r w:rsidRPr="00131A76">
        <w:rPr>
          <w:rFonts w:ascii="Arial" w:hAnsi="Arial" w:cs="Arial"/>
          <w:lang w:bidi="pt-BR"/>
        </w:rPr>
        <w:t>seara  do  equilíbrio  econômico-financeiro</w:t>
      </w:r>
      <w:r>
        <w:rPr>
          <w:rFonts w:ascii="Arial" w:hAnsi="Arial" w:cs="Arial"/>
          <w:lang w:bidi="pt-BR"/>
        </w:rPr>
        <w:t xml:space="preserve"> </w:t>
      </w:r>
      <w:r w:rsidRPr="00131A76">
        <w:rPr>
          <w:rFonts w:ascii="Arial" w:hAnsi="Arial" w:cs="Arial"/>
          <w:lang w:bidi="pt-BR"/>
        </w:rPr>
        <w:t xml:space="preserve">contrato  estabelecido  entre  a  Administração  e </w:t>
      </w:r>
      <w:r>
        <w:rPr>
          <w:rFonts w:ascii="Arial" w:hAnsi="Arial" w:cs="Arial"/>
          <w:lang w:bidi="pt-BR"/>
        </w:rPr>
        <w:t xml:space="preserve"> o </w:t>
      </w:r>
      <w:r w:rsidRPr="00131A76">
        <w:rPr>
          <w:rFonts w:ascii="Arial" w:hAnsi="Arial" w:cs="Arial"/>
          <w:lang w:bidi="pt-BR"/>
        </w:rPr>
        <w:t>prestador  do  s</w:t>
      </w:r>
      <w:r>
        <w:rPr>
          <w:rFonts w:ascii="Arial" w:hAnsi="Arial" w:cs="Arial"/>
          <w:lang w:bidi="pt-BR"/>
        </w:rPr>
        <w:t xml:space="preserve">erviço  público,  pois  a  lei </w:t>
      </w:r>
      <w:r w:rsidRPr="00131A76">
        <w:rPr>
          <w:rFonts w:ascii="Arial" w:hAnsi="Arial" w:cs="Arial"/>
          <w:lang w:bidi="pt-BR"/>
        </w:rPr>
        <w:t>impugnada,  dive</w:t>
      </w:r>
      <w:r>
        <w:rPr>
          <w:rFonts w:ascii="Arial" w:hAnsi="Arial" w:cs="Arial"/>
          <w:lang w:bidi="pt-BR"/>
        </w:rPr>
        <w:t xml:space="preserve">rsamente  do  sustentado  pelo </w:t>
      </w:r>
      <w:r w:rsidRPr="00131A76">
        <w:rPr>
          <w:rFonts w:ascii="Arial" w:hAnsi="Arial" w:cs="Arial"/>
          <w:lang w:bidi="pt-BR"/>
        </w:rPr>
        <w:t>autor,  não  impõe  a  gr</w:t>
      </w:r>
      <w:r>
        <w:rPr>
          <w:rFonts w:ascii="Arial" w:hAnsi="Arial" w:cs="Arial"/>
          <w:lang w:bidi="pt-BR"/>
        </w:rPr>
        <w:t xml:space="preserve">atuidade  do  serviço  público </w:t>
      </w:r>
      <w:r w:rsidRPr="00131A76">
        <w:rPr>
          <w:rFonts w:ascii="Arial" w:hAnsi="Arial" w:cs="Arial"/>
          <w:lang w:bidi="pt-BR"/>
        </w:rPr>
        <w:t>aos  idosos,  já  conce</w:t>
      </w:r>
      <w:r>
        <w:rPr>
          <w:rFonts w:ascii="Arial" w:hAnsi="Arial" w:cs="Arial"/>
          <w:lang w:bidi="pt-BR"/>
        </w:rPr>
        <w:t xml:space="preserve">dida  anteriormente  por  lei. </w:t>
      </w:r>
      <w:r w:rsidRPr="00131A76">
        <w:rPr>
          <w:rFonts w:ascii="Arial" w:hAnsi="Arial" w:cs="Arial"/>
          <w:lang w:bidi="pt-BR"/>
        </w:rPr>
        <w:t>Ação direta julgada improcedente</w:t>
      </w:r>
      <w:r>
        <w:rPr>
          <w:rFonts w:ascii="Arial" w:hAnsi="Arial" w:cs="Arial"/>
          <w:lang w:bidi="pt-BR"/>
        </w:rPr>
        <w:t>. (</w:t>
      </w:r>
      <w:r w:rsidRPr="00131A76">
        <w:rPr>
          <w:rFonts w:ascii="Arial" w:hAnsi="Arial" w:cs="Arial"/>
          <w:lang w:bidi="pt-BR"/>
        </w:rPr>
        <w:t>TJSP,  ADI  nº  2158282-78.2018.8.26.0000,  Rel.  Des.  Cristina  Zucchi,  julgamento  em 06/02/2019</w:t>
      </w:r>
      <w:r>
        <w:rPr>
          <w:rFonts w:ascii="Arial" w:hAnsi="Arial" w:cs="Arial"/>
          <w:lang w:bidi="pt-BR"/>
        </w:rPr>
        <w:t>)</w:t>
      </w:r>
    </w:p>
    <w:p w:rsidR="00FC19C7" w:rsidRPr="00E9793E" w:rsidRDefault="00B020C0" w:rsidP="00C03331">
      <w:pPr>
        <w:spacing w:before="100" w:beforeAutospacing="1" w:line="360" w:lineRule="auto"/>
        <w:ind w:firstLine="2268"/>
        <w:jc w:val="both"/>
        <w:rPr>
          <w:rFonts w:ascii="Arial" w:hAnsi="Arial" w:cs="Arial"/>
          <w:b/>
        </w:rPr>
      </w:pPr>
      <w:r>
        <w:rPr>
          <w:rFonts w:ascii="Arial" w:hAnsi="Arial" w:cs="Arial"/>
        </w:rPr>
        <w:lastRenderedPageBreak/>
        <w:t>Assim</w:t>
      </w:r>
      <w:r w:rsidR="00905E7C">
        <w:rPr>
          <w:rFonts w:ascii="Arial" w:hAnsi="Arial" w:cs="Arial"/>
        </w:rPr>
        <w:t>, peço</w:t>
      </w:r>
      <w:r w:rsidR="00FC19C7" w:rsidRPr="00E9793E">
        <w:rPr>
          <w:rFonts w:ascii="Arial" w:hAnsi="Arial" w:cs="Arial"/>
        </w:rPr>
        <w:t xml:space="preserve"> a apreciação e consequente aprovação desse projeto pelo Nobres Colegas dessa Casa Legislativa.</w:t>
      </w:r>
    </w:p>
    <w:p w:rsidR="003D1843" w:rsidRDefault="003D1843" w:rsidP="003D1843">
      <w:pPr>
        <w:jc w:val="both"/>
        <w:rPr>
          <w:rFonts w:ascii="Arial" w:hAnsi="Arial" w:cs="Arial"/>
          <w:b/>
        </w:rPr>
      </w:pPr>
    </w:p>
    <w:p w:rsidR="00BB7683" w:rsidRPr="00F8159B" w:rsidRDefault="00BB7683" w:rsidP="003D1843">
      <w:pPr>
        <w:jc w:val="both"/>
        <w:rPr>
          <w:rFonts w:ascii="Arial" w:hAnsi="Arial" w:cs="Arial"/>
          <w:b/>
        </w:rPr>
      </w:pPr>
    </w:p>
    <w:p w:rsidR="003D1843" w:rsidRDefault="003D1843" w:rsidP="003D1843">
      <w:pPr>
        <w:jc w:val="both"/>
        <w:rPr>
          <w:rFonts w:ascii="Arial" w:hAnsi="Arial" w:cs="Arial"/>
          <w:b/>
        </w:rPr>
      </w:pPr>
    </w:p>
    <w:p w:rsidR="003D1843" w:rsidRDefault="00131A76" w:rsidP="002B41E6">
      <w:pPr>
        <w:jc w:val="center"/>
        <w:rPr>
          <w:rFonts w:ascii="Arial" w:hAnsi="Arial" w:cs="Arial"/>
          <w:b/>
        </w:rPr>
      </w:pPr>
      <w:r>
        <w:rPr>
          <w:rFonts w:ascii="Arial" w:hAnsi="Arial" w:cs="Arial"/>
          <w:b/>
        </w:rPr>
        <w:t>Diego Francisco</w:t>
      </w:r>
    </w:p>
    <w:p w:rsidR="000861A8" w:rsidRPr="00F8159B" w:rsidRDefault="001553A6" w:rsidP="002B41E6">
      <w:pPr>
        <w:jc w:val="center"/>
        <w:rPr>
          <w:rFonts w:ascii="Arial" w:hAnsi="Arial" w:cs="Arial"/>
          <w:b/>
        </w:rPr>
      </w:pPr>
      <w:r>
        <w:rPr>
          <w:rFonts w:ascii="Arial" w:hAnsi="Arial" w:cs="Arial"/>
          <w:b/>
        </w:rPr>
        <w:t>Vereador</w:t>
      </w:r>
      <w:bookmarkStart w:id="0" w:name="_GoBack"/>
      <w:bookmarkEnd w:id="0"/>
      <w:r w:rsidR="000861A8">
        <w:rPr>
          <w:rFonts w:ascii="Arial" w:hAnsi="Arial" w:cs="Arial"/>
          <w:b/>
        </w:rPr>
        <w:t xml:space="preserve"> do PS</w:t>
      </w:r>
      <w:r w:rsidR="00131A76">
        <w:rPr>
          <w:rFonts w:ascii="Arial" w:hAnsi="Arial" w:cs="Arial"/>
          <w:b/>
        </w:rPr>
        <w:t>D</w:t>
      </w:r>
      <w:r w:rsidR="000861A8">
        <w:rPr>
          <w:rFonts w:ascii="Arial" w:hAnsi="Arial" w:cs="Arial"/>
          <w:b/>
        </w:rPr>
        <w:t>B</w:t>
      </w:r>
    </w:p>
    <w:p w:rsidR="003D1843" w:rsidRPr="00F8159B" w:rsidRDefault="003D1843" w:rsidP="002B41E6">
      <w:pPr>
        <w:jc w:val="center"/>
        <w:rPr>
          <w:rFonts w:ascii="Arial" w:hAnsi="Arial" w:cs="Arial"/>
          <w:b/>
        </w:rPr>
      </w:pPr>
    </w:p>
    <w:p w:rsidR="0059308E" w:rsidRDefault="0059308E" w:rsidP="00C03331">
      <w:pPr>
        <w:pStyle w:val="Corpodetexto"/>
        <w:spacing w:line="360" w:lineRule="auto"/>
        <w:rPr>
          <w:rFonts w:ascii="Arial" w:hAnsi="Arial" w:cs="Arial"/>
          <w:b/>
        </w:rPr>
      </w:pPr>
    </w:p>
    <w:p w:rsidR="00960D17" w:rsidRDefault="00960D17" w:rsidP="00817063">
      <w:pPr>
        <w:pStyle w:val="Corpodetexto"/>
        <w:spacing w:line="360" w:lineRule="auto"/>
        <w:rPr>
          <w:rFonts w:ascii="Arial" w:hAnsi="Arial" w:cs="Arial"/>
          <w:b/>
          <w:u w:val="thick"/>
        </w:rPr>
      </w:pPr>
    </w:p>
    <w:p w:rsidR="000861A8" w:rsidRDefault="000861A8" w:rsidP="00162CBE">
      <w:pPr>
        <w:pStyle w:val="Corpodetexto"/>
        <w:spacing w:line="360" w:lineRule="auto"/>
        <w:ind w:firstLine="2268"/>
        <w:rPr>
          <w:rFonts w:ascii="Arial" w:hAnsi="Arial" w:cs="Arial"/>
          <w:b/>
          <w:u w:val="thick"/>
        </w:rPr>
      </w:pPr>
    </w:p>
    <w:p w:rsidR="000861A8" w:rsidRDefault="000861A8" w:rsidP="00162CBE">
      <w:pPr>
        <w:pStyle w:val="Corpodetexto"/>
        <w:spacing w:line="360" w:lineRule="auto"/>
        <w:ind w:firstLine="2268"/>
        <w:rPr>
          <w:rFonts w:ascii="Arial" w:hAnsi="Arial" w:cs="Arial"/>
          <w:b/>
          <w:u w:val="thick"/>
        </w:rPr>
      </w:pPr>
    </w:p>
    <w:p w:rsidR="000861A8" w:rsidRDefault="000861A8" w:rsidP="00162CBE">
      <w:pPr>
        <w:pStyle w:val="Corpodetexto"/>
        <w:spacing w:line="360" w:lineRule="auto"/>
        <w:ind w:firstLine="2268"/>
        <w:rPr>
          <w:rFonts w:ascii="Arial" w:hAnsi="Arial" w:cs="Arial"/>
          <w:b/>
          <w:u w:val="thick"/>
        </w:rPr>
      </w:pPr>
    </w:p>
    <w:p w:rsidR="000861A8" w:rsidRDefault="000861A8" w:rsidP="00162CBE">
      <w:pPr>
        <w:pStyle w:val="Corpodetexto"/>
        <w:spacing w:line="360" w:lineRule="auto"/>
        <w:ind w:firstLine="2268"/>
        <w:rPr>
          <w:rFonts w:ascii="Arial" w:hAnsi="Arial" w:cs="Arial"/>
          <w:b/>
          <w:u w:val="thick"/>
        </w:rPr>
      </w:pPr>
    </w:p>
    <w:p w:rsidR="002B41E6" w:rsidRDefault="002B41E6" w:rsidP="00162CBE">
      <w:pPr>
        <w:pStyle w:val="Corpodetexto"/>
        <w:spacing w:line="360" w:lineRule="auto"/>
        <w:ind w:firstLine="2268"/>
        <w:rPr>
          <w:rFonts w:ascii="Arial" w:hAnsi="Arial" w:cs="Arial"/>
          <w:b/>
          <w:sz w:val="28"/>
          <w:szCs w:val="28"/>
          <w:u w:val="thick"/>
        </w:rPr>
      </w:pPr>
    </w:p>
    <w:p w:rsidR="002B41E6" w:rsidRDefault="002B41E6" w:rsidP="00162CBE">
      <w:pPr>
        <w:pStyle w:val="Corpodetexto"/>
        <w:spacing w:line="360" w:lineRule="auto"/>
        <w:ind w:firstLine="2268"/>
        <w:rPr>
          <w:rFonts w:ascii="Arial" w:hAnsi="Arial" w:cs="Arial"/>
          <w:b/>
          <w:sz w:val="28"/>
          <w:szCs w:val="28"/>
          <w:u w:val="thick"/>
        </w:rPr>
      </w:pPr>
    </w:p>
    <w:p w:rsidR="002B41E6" w:rsidRDefault="002B41E6" w:rsidP="00162CBE">
      <w:pPr>
        <w:pStyle w:val="Corpodetexto"/>
        <w:spacing w:line="360" w:lineRule="auto"/>
        <w:ind w:firstLine="2268"/>
        <w:rPr>
          <w:rFonts w:ascii="Arial" w:hAnsi="Arial" w:cs="Arial"/>
          <w:b/>
          <w:sz w:val="28"/>
          <w:szCs w:val="28"/>
          <w:u w:val="thick"/>
        </w:rPr>
      </w:pPr>
    </w:p>
    <w:p w:rsidR="002B41E6" w:rsidRDefault="002B41E6" w:rsidP="00162CBE">
      <w:pPr>
        <w:pStyle w:val="Corpodetexto"/>
        <w:spacing w:line="360" w:lineRule="auto"/>
        <w:ind w:firstLine="2268"/>
        <w:rPr>
          <w:rFonts w:ascii="Arial" w:hAnsi="Arial" w:cs="Arial"/>
          <w:b/>
          <w:sz w:val="28"/>
          <w:szCs w:val="28"/>
          <w:u w:val="thick"/>
        </w:rPr>
      </w:pPr>
    </w:p>
    <w:p w:rsidR="002B41E6" w:rsidRDefault="002B41E6" w:rsidP="00162CBE">
      <w:pPr>
        <w:pStyle w:val="Corpodetexto"/>
        <w:spacing w:line="360" w:lineRule="auto"/>
        <w:ind w:firstLine="2268"/>
        <w:rPr>
          <w:rFonts w:ascii="Arial" w:hAnsi="Arial" w:cs="Arial"/>
          <w:b/>
          <w:sz w:val="28"/>
          <w:szCs w:val="28"/>
          <w:u w:val="thick"/>
        </w:rPr>
      </w:pPr>
    </w:p>
    <w:p w:rsidR="002B41E6" w:rsidRDefault="002B41E6" w:rsidP="00162CBE">
      <w:pPr>
        <w:pStyle w:val="Corpodetexto"/>
        <w:spacing w:line="360" w:lineRule="auto"/>
        <w:ind w:firstLine="2268"/>
        <w:rPr>
          <w:rFonts w:ascii="Arial" w:hAnsi="Arial" w:cs="Arial"/>
          <w:b/>
          <w:sz w:val="28"/>
          <w:szCs w:val="28"/>
          <w:u w:val="thick"/>
        </w:rPr>
      </w:pPr>
    </w:p>
    <w:p w:rsidR="002B41E6" w:rsidRDefault="002B41E6" w:rsidP="00162CBE">
      <w:pPr>
        <w:pStyle w:val="Corpodetexto"/>
        <w:spacing w:line="360" w:lineRule="auto"/>
        <w:ind w:firstLine="2268"/>
        <w:rPr>
          <w:rFonts w:ascii="Arial" w:hAnsi="Arial" w:cs="Arial"/>
          <w:b/>
          <w:sz w:val="28"/>
          <w:szCs w:val="28"/>
          <w:u w:val="thick"/>
        </w:rPr>
      </w:pPr>
    </w:p>
    <w:p w:rsidR="002B41E6" w:rsidRDefault="002B41E6" w:rsidP="00162CBE">
      <w:pPr>
        <w:pStyle w:val="Corpodetexto"/>
        <w:spacing w:line="360" w:lineRule="auto"/>
        <w:ind w:firstLine="2268"/>
        <w:rPr>
          <w:rFonts w:ascii="Arial" w:hAnsi="Arial" w:cs="Arial"/>
          <w:b/>
          <w:sz w:val="28"/>
          <w:szCs w:val="28"/>
          <w:u w:val="thick"/>
        </w:rPr>
      </w:pPr>
    </w:p>
    <w:p w:rsidR="002B41E6" w:rsidRDefault="002B41E6" w:rsidP="00162CBE">
      <w:pPr>
        <w:pStyle w:val="Corpodetexto"/>
        <w:spacing w:line="360" w:lineRule="auto"/>
        <w:ind w:firstLine="2268"/>
        <w:rPr>
          <w:rFonts w:ascii="Arial" w:hAnsi="Arial" w:cs="Arial"/>
          <w:b/>
          <w:sz w:val="28"/>
          <w:szCs w:val="28"/>
          <w:u w:val="thick"/>
        </w:rPr>
      </w:pPr>
    </w:p>
    <w:p w:rsidR="002B41E6" w:rsidRDefault="002B41E6" w:rsidP="00162CBE">
      <w:pPr>
        <w:pStyle w:val="Corpodetexto"/>
        <w:spacing w:line="360" w:lineRule="auto"/>
        <w:ind w:firstLine="2268"/>
        <w:rPr>
          <w:rFonts w:ascii="Arial" w:hAnsi="Arial" w:cs="Arial"/>
          <w:b/>
          <w:sz w:val="28"/>
          <w:szCs w:val="28"/>
          <w:u w:val="thick"/>
        </w:rPr>
      </w:pPr>
    </w:p>
    <w:p w:rsidR="002B41E6" w:rsidRDefault="002B41E6" w:rsidP="00162CBE">
      <w:pPr>
        <w:pStyle w:val="Corpodetexto"/>
        <w:spacing w:line="360" w:lineRule="auto"/>
        <w:ind w:firstLine="2268"/>
        <w:rPr>
          <w:rFonts w:ascii="Arial" w:hAnsi="Arial" w:cs="Arial"/>
          <w:b/>
          <w:sz w:val="28"/>
          <w:szCs w:val="28"/>
          <w:u w:val="thick"/>
        </w:rPr>
      </w:pPr>
    </w:p>
    <w:p w:rsidR="002B41E6" w:rsidRDefault="002B41E6" w:rsidP="00162CBE">
      <w:pPr>
        <w:pStyle w:val="Corpodetexto"/>
        <w:spacing w:line="360" w:lineRule="auto"/>
        <w:ind w:firstLine="2268"/>
        <w:rPr>
          <w:rFonts w:ascii="Arial" w:hAnsi="Arial" w:cs="Arial"/>
          <w:b/>
          <w:sz w:val="28"/>
          <w:szCs w:val="28"/>
          <w:u w:val="thick"/>
        </w:rPr>
      </w:pPr>
    </w:p>
    <w:p w:rsidR="00F70B82" w:rsidRDefault="00F70B82" w:rsidP="00162CBE">
      <w:pPr>
        <w:pStyle w:val="Corpodetexto"/>
        <w:spacing w:line="360" w:lineRule="auto"/>
        <w:ind w:firstLine="2268"/>
        <w:rPr>
          <w:rFonts w:ascii="Arial" w:hAnsi="Arial" w:cs="Arial"/>
          <w:b/>
          <w:sz w:val="28"/>
          <w:szCs w:val="28"/>
          <w:u w:val="thick"/>
        </w:rPr>
      </w:pPr>
    </w:p>
    <w:p w:rsidR="00F70B82" w:rsidRDefault="00F70B82" w:rsidP="00162CBE">
      <w:pPr>
        <w:pStyle w:val="Corpodetexto"/>
        <w:spacing w:line="360" w:lineRule="auto"/>
        <w:ind w:firstLine="2268"/>
        <w:rPr>
          <w:rFonts w:ascii="Arial" w:hAnsi="Arial" w:cs="Arial"/>
          <w:b/>
          <w:sz w:val="28"/>
          <w:szCs w:val="28"/>
          <w:u w:val="thick"/>
        </w:rPr>
      </w:pPr>
    </w:p>
    <w:p w:rsidR="00FC19C7" w:rsidRPr="000861A8" w:rsidRDefault="000D5A75" w:rsidP="00162CBE">
      <w:pPr>
        <w:pStyle w:val="Corpodetexto"/>
        <w:spacing w:line="360" w:lineRule="auto"/>
        <w:ind w:firstLine="2268"/>
        <w:rPr>
          <w:rFonts w:ascii="Arial" w:hAnsi="Arial" w:cs="Arial"/>
          <w:b/>
          <w:sz w:val="28"/>
          <w:szCs w:val="28"/>
          <w:u w:val="thick"/>
        </w:rPr>
      </w:pPr>
      <w:r w:rsidRPr="000861A8">
        <w:rPr>
          <w:rFonts w:ascii="Arial" w:hAnsi="Arial" w:cs="Arial"/>
          <w:b/>
          <w:sz w:val="28"/>
          <w:szCs w:val="28"/>
          <w:u w:val="thick"/>
        </w:rPr>
        <w:lastRenderedPageBreak/>
        <w:t>PROJETO DE LEI Nº</w:t>
      </w:r>
      <w:r w:rsidR="00905E7C">
        <w:rPr>
          <w:rFonts w:ascii="Arial" w:hAnsi="Arial" w:cs="Arial"/>
          <w:b/>
          <w:sz w:val="28"/>
          <w:szCs w:val="28"/>
          <w:u w:val="thick"/>
        </w:rPr>
        <w:t xml:space="preserve"> 0</w:t>
      </w:r>
      <w:r w:rsidR="00F62AD9">
        <w:rPr>
          <w:rFonts w:ascii="Arial" w:hAnsi="Arial" w:cs="Arial"/>
          <w:b/>
          <w:sz w:val="28"/>
          <w:szCs w:val="28"/>
          <w:u w:val="thick"/>
        </w:rPr>
        <w:t>39</w:t>
      </w:r>
      <w:r w:rsidR="00905E7C">
        <w:rPr>
          <w:rFonts w:ascii="Arial" w:hAnsi="Arial" w:cs="Arial"/>
          <w:b/>
          <w:sz w:val="28"/>
          <w:szCs w:val="28"/>
          <w:u w:val="thick"/>
        </w:rPr>
        <w:t>- 2019</w:t>
      </w:r>
    </w:p>
    <w:p w:rsidR="00FC19C7" w:rsidRPr="00B1076C" w:rsidRDefault="00FC19C7" w:rsidP="005F7585">
      <w:pPr>
        <w:pStyle w:val="Corpodetexto"/>
        <w:spacing w:line="360" w:lineRule="auto"/>
        <w:ind w:left="2268"/>
        <w:rPr>
          <w:rFonts w:ascii="Arial" w:hAnsi="Arial" w:cs="Arial"/>
          <w:b/>
        </w:rPr>
      </w:pPr>
    </w:p>
    <w:p w:rsidR="00A632AF" w:rsidRPr="00E0152A" w:rsidRDefault="00E0152A" w:rsidP="00E0152A">
      <w:pPr>
        <w:spacing w:line="360" w:lineRule="auto"/>
        <w:ind w:left="2268"/>
        <w:jc w:val="both"/>
        <w:rPr>
          <w:rFonts w:ascii="Arial" w:hAnsi="Arial" w:cs="Arial"/>
          <w:b/>
          <w:bCs/>
          <w:iCs/>
          <w:lang w:bidi="pt-BR"/>
        </w:rPr>
      </w:pPr>
      <w:r w:rsidRPr="00E0152A">
        <w:rPr>
          <w:rFonts w:ascii="Arial" w:hAnsi="Arial" w:cs="Arial"/>
          <w:b/>
          <w:bCs/>
          <w:iCs/>
          <w:lang w:bidi="pt-BR"/>
        </w:rPr>
        <w:t xml:space="preserve">DISPÕE SOBRE A PERMISSÃO </w:t>
      </w:r>
      <w:r>
        <w:rPr>
          <w:rFonts w:ascii="Arial" w:hAnsi="Arial" w:cs="Arial"/>
          <w:b/>
          <w:bCs/>
          <w:iCs/>
          <w:lang w:bidi="pt-BR"/>
        </w:rPr>
        <w:t xml:space="preserve">PARA EMBARQUE E DESEMBARQUE DE </w:t>
      </w:r>
      <w:r w:rsidRPr="00E0152A">
        <w:rPr>
          <w:rFonts w:ascii="Arial" w:hAnsi="Arial" w:cs="Arial"/>
          <w:b/>
          <w:bCs/>
          <w:iCs/>
          <w:lang w:bidi="pt-BR"/>
        </w:rPr>
        <w:t>PASSAGEIROS COM DEFICIÊNCIA OU MOBILIDADE REDUZIDA</w:t>
      </w:r>
      <w:r>
        <w:rPr>
          <w:rFonts w:ascii="Arial" w:hAnsi="Arial" w:cs="Arial"/>
          <w:b/>
          <w:bCs/>
          <w:iCs/>
          <w:lang w:bidi="pt-BR"/>
        </w:rPr>
        <w:t>, BEM COMO AOS IDOSOS</w:t>
      </w:r>
      <w:r w:rsidRPr="00E0152A">
        <w:rPr>
          <w:rFonts w:ascii="Arial" w:hAnsi="Arial" w:cs="Arial"/>
          <w:b/>
          <w:bCs/>
          <w:iCs/>
          <w:lang w:bidi="pt-BR"/>
        </w:rPr>
        <w:t xml:space="preserve"> FORA DOS PONTOS E DAS PARADAS OFICIAIS.</w:t>
      </w:r>
    </w:p>
    <w:p w:rsidR="00E0152A" w:rsidRDefault="00E0152A" w:rsidP="005F7585">
      <w:pPr>
        <w:spacing w:line="360" w:lineRule="auto"/>
        <w:ind w:firstLine="2268"/>
        <w:jc w:val="both"/>
        <w:rPr>
          <w:rFonts w:ascii="Arial" w:hAnsi="Arial" w:cs="Arial"/>
        </w:rPr>
      </w:pPr>
    </w:p>
    <w:p w:rsidR="005F7585" w:rsidRPr="00B1076C" w:rsidRDefault="005F7585" w:rsidP="005F7585">
      <w:pPr>
        <w:spacing w:line="360" w:lineRule="auto"/>
        <w:ind w:firstLine="2268"/>
        <w:jc w:val="both"/>
        <w:rPr>
          <w:rFonts w:ascii="Arial" w:hAnsi="Arial" w:cs="Arial"/>
        </w:rPr>
      </w:pPr>
      <w:r w:rsidRPr="00B1076C">
        <w:rPr>
          <w:rFonts w:ascii="Arial" w:hAnsi="Arial" w:cs="Arial"/>
        </w:rPr>
        <w:t>A Prefeita Municipal de Estância Velha - RS.</w:t>
      </w:r>
    </w:p>
    <w:p w:rsidR="005F7585" w:rsidRPr="00B1076C" w:rsidRDefault="005F7585" w:rsidP="005F7585">
      <w:pPr>
        <w:spacing w:line="360" w:lineRule="auto"/>
        <w:ind w:firstLine="2268"/>
        <w:jc w:val="both"/>
        <w:rPr>
          <w:rFonts w:ascii="Arial" w:hAnsi="Arial" w:cs="Arial"/>
        </w:rPr>
      </w:pPr>
      <w:r w:rsidRPr="00B1076C">
        <w:rPr>
          <w:rFonts w:ascii="Arial" w:hAnsi="Arial" w:cs="Arial"/>
        </w:rPr>
        <w:tab/>
      </w:r>
      <w:r w:rsidRPr="00B1076C">
        <w:rPr>
          <w:rFonts w:ascii="Arial" w:hAnsi="Arial" w:cs="Arial"/>
        </w:rPr>
        <w:tab/>
      </w:r>
      <w:r w:rsidRPr="00B1076C">
        <w:rPr>
          <w:rFonts w:ascii="Arial" w:hAnsi="Arial" w:cs="Arial"/>
        </w:rPr>
        <w:tab/>
      </w:r>
      <w:r w:rsidRPr="00B1076C">
        <w:rPr>
          <w:rFonts w:ascii="Arial" w:hAnsi="Arial" w:cs="Arial"/>
        </w:rPr>
        <w:tab/>
      </w:r>
    </w:p>
    <w:p w:rsidR="00B020C0" w:rsidRPr="00B020C0" w:rsidRDefault="005F7585" w:rsidP="00B020C0">
      <w:pPr>
        <w:spacing w:line="360" w:lineRule="auto"/>
        <w:ind w:firstLine="2268"/>
        <w:jc w:val="both"/>
        <w:rPr>
          <w:rFonts w:ascii="Arial" w:hAnsi="Arial" w:cs="Arial"/>
        </w:rPr>
      </w:pPr>
      <w:r w:rsidRPr="00B1076C">
        <w:rPr>
          <w:rFonts w:ascii="Arial" w:hAnsi="Arial" w:cs="Arial"/>
        </w:rPr>
        <w:t>Faço saber que o Poder Legislativo aprovou e eu sanciono e promulgo a seguinte Lei:</w:t>
      </w:r>
      <w:r w:rsidR="00930D94" w:rsidRPr="00B1076C">
        <w:rPr>
          <w:rFonts w:ascii="Arial" w:hAnsi="Arial" w:cs="Arial"/>
          <w:b/>
        </w:rPr>
        <w:t xml:space="preserve">                                     </w:t>
      </w:r>
    </w:p>
    <w:p w:rsidR="00817063" w:rsidRDefault="00817063" w:rsidP="00817063">
      <w:pPr>
        <w:spacing w:line="360" w:lineRule="auto"/>
        <w:jc w:val="both"/>
        <w:rPr>
          <w:rFonts w:ascii="Arial" w:hAnsi="Arial" w:cs="Arial"/>
          <w:bCs/>
          <w:lang w:bidi="pt-BR"/>
        </w:rPr>
      </w:pPr>
    </w:p>
    <w:p w:rsidR="00297A58" w:rsidRPr="00297A58" w:rsidRDefault="00297A58" w:rsidP="00297A58">
      <w:pPr>
        <w:spacing w:before="240" w:after="120" w:line="360" w:lineRule="auto"/>
        <w:ind w:firstLine="2268"/>
        <w:jc w:val="both"/>
        <w:rPr>
          <w:rFonts w:ascii="Arial" w:hAnsi="Arial" w:cs="Arial"/>
          <w:bCs/>
          <w:lang w:bidi="pt-BR"/>
        </w:rPr>
      </w:pPr>
      <w:r w:rsidRPr="00297A58">
        <w:rPr>
          <w:rFonts w:ascii="Arial" w:hAnsi="Arial" w:cs="Arial"/>
          <w:bCs/>
          <w:lang w:bidi="pt-BR"/>
        </w:rPr>
        <w:t xml:space="preserve">Art. 1º. </w:t>
      </w:r>
      <w:r w:rsidRPr="00297A58">
        <w:rPr>
          <w:rFonts w:ascii="Arial" w:hAnsi="Arial" w:cs="Arial"/>
          <w:bCs/>
          <w:lang w:bidi="pt-BR"/>
        </w:rPr>
        <w:t>Os  usuários  com  deficiência  ou  mobilidade  reduzida</w:t>
      </w:r>
      <w:r>
        <w:rPr>
          <w:rFonts w:ascii="Arial" w:hAnsi="Arial" w:cs="Arial"/>
          <w:bCs/>
          <w:lang w:bidi="pt-BR"/>
        </w:rPr>
        <w:t>, bem</w:t>
      </w:r>
      <w:r w:rsidR="00E0152A">
        <w:rPr>
          <w:rFonts w:ascii="Arial" w:hAnsi="Arial" w:cs="Arial"/>
          <w:bCs/>
          <w:lang w:bidi="pt-BR"/>
        </w:rPr>
        <w:t xml:space="preserve"> como os idosos com idade igual ou superior a 60 anos,</w:t>
      </w:r>
      <w:r w:rsidRPr="00297A58">
        <w:rPr>
          <w:rFonts w:ascii="Arial" w:hAnsi="Arial" w:cs="Arial"/>
          <w:bCs/>
          <w:lang w:bidi="pt-BR"/>
        </w:rPr>
        <w:t xml:space="preserve">  que  utilizam  o  Transporte </w:t>
      </w:r>
      <w:r w:rsidRPr="00297A58">
        <w:rPr>
          <w:rFonts w:ascii="Arial" w:hAnsi="Arial" w:cs="Arial"/>
          <w:bCs/>
          <w:lang w:bidi="pt-BR"/>
        </w:rPr>
        <w:t>Coletivo Urbano de Passageiros</w:t>
      </w:r>
      <w:r w:rsidR="00E0152A">
        <w:rPr>
          <w:rFonts w:ascii="Arial" w:hAnsi="Arial" w:cs="Arial"/>
          <w:bCs/>
          <w:lang w:bidi="pt-BR"/>
        </w:rPr>
        <w:t>,</w:t>
      </w:r>
      <w:r w:rsidRPr="00297A58">
        <w:rPr>
          <w:rFonts w:ascii="Arial" w:hAnsi="Arial" w:cs="Arial"/>
          <w:bCs/>
          <w:lang w:bidi="pt-BR"/>
        </w:rPr>
        <w:t xml:space="preserve"> poderão optar pelo local mais acessível para o seu embarque e desembarque, respeitado o itinerário original da linha e a legislação de trânsito. </w:t>
      </w:r>
    </w:p>
    <w:p w:rsidR="00297A58" w:rsidRPr="00297A58" w:rsidRDefault="00297A58" w:rsidP="00297A58">
      <w:pPr>
        <w:spacing w:before="240" w:after="120" w:line="360" w:lineRule="auto"/>
        <w:ind w:firstLine="2268"/>
        <w:jc w:val="both"/>
        <w:rPr>
          <w:rFonts w:ascii="Arial" w:hAnsi="Arial" w:cs="Arial"/>
          <w:bCs/>
          <w:lang w:bidi="pt-BR"/>
        </w:rPr>
      </w:pPr>
      <w:r w:rsidRPr="00297A58">
        <w:rPr>
          <w:rFonts w:ascii="Arial" w:hAnsi="Arial" w:cs="Arial"/>
          <w:bCs/>
          <w:lang w:bidi="pt-BR"/>
        </w:rPr>
        <w:t xml:space="preserve">Art. 2º. Na </w:t>
      </w:r>
      <w:r w:rsidR="00E0152A" w:rsidRPr="00297A58">
        <w:rPr>
          <w:rFonts w:ascii="Arial" w:hAnsi="Arial" w:cs="Arial"/>
          <w:bCs/>
          <w:lang w:bidi="pt-BR"/>
        </w:rPr>
        <w:t>impossibilidade de</w:t>
      </w:r>
      <w:r w:rsidRPr="00297A58">
        <w:rPr>
          <w:rFonts w:ascii="Arial" w:hAnsi="Arial" w:cs="Arial"/>
          <w:bCs/>
          <w:lang w:bidi="pt-BR"/>
        </w:rPr>
        <w:t xml:space="preserve"> parada no local indicado por pr</w:t>
      </w:r>
      <w:r w:rsidRPr="00297A58">
        <w:rPr>
          <w:rFonts w:ascii="Arial" w:hAnsi="Arial" w:cs="Arial"/>
          <w:bCs/>
          <w:lang w:bidi="pt-BR"/>
        </w:rPr>
        <w:t xml:space="preserve">oibição estabelecida no Código </w:t>
      </w:r>
      <w:r w:rsidR="00E0152A" w:rsidRPr="00297A58">
        <w:rPr>
          <w:rFonts w:ascii="Arial" w:hAnsi="Arial" w:cs="Arial"/>
          <w:bCs/>
          <w:lang w:bidi="pt-BR"/>
        </w:rPr>
        <w:t>de Trânsito ou Legislação Correlata, deverá ser observado pelo condutor do veículo</w:t>
      </w:r>
      <w:r w:rsidRPr="00297A58">
        <w:rPr>
          <w:rFonts w:ascii="Arial" w:hAnsi="Arial" w:cs="Arial"/>
          <w:bCs/>
          <w:lang w:bidi="pt-BR"/>
        </w:rPr>
        <w:t xml:space="preserve">  de transporte  coletivo  o  local  mais  próximo  ao  indicado,  desde  que  garantida  a  segurança  do </w:t>
      </w:r>
      <w:r w:rsidR="00E0152A">
        <w:rPr>
          <w:rFonts w:ascii="Arial" w:hAnsi="Arial" w:cs="Arial"/>
          <w:bCs/>
          <w:lang w:bidi="pt-BR"/>
        </w:rPr>
        <w:t>desembarque</w:t>
      </w:r>
      <w:r w:rsidRPr="00297A58">
        <w:rPr>
          <w:rFonts w:ascii="Arial" w:hAnsi="Arial" w:cs="Arial"/>
          <w:bCs/>
          <w:lang w:bidi="pt-BR"/>
        </w:rPr>
        <w:t>.</w:t>
      </w:r>
    </w:p>
    <w:p w:rsidR="00297A58" w:rsidRPr="00297A58" w:rsidRDefault="00297A58" w:rsidP="00297A58">
      <w:pPr>
        <w:spacing w:before="240" w:after="120" w:line="360" w:lineRule="auto"/>
        <w:ind w:firstLine="2268"/>
        <w:jc w:val="both"/>
        <w:rPr>
          <w:rFonts w:ascii="Arial" w:hAnsi="Arial" w:cs="Arial"/>
          <w:bCs/>
          <w:lang w:bidi="pt-BR"/>
        </w:rPr>
      </w:pPr>
      <w:r w:rsidRPr="00297A58">
        <w:rPr>
          <w:rFonts w:ascii="Arial" w:hAnsi="Arial" w:cs="Arial"/>
          <w:bCs/>
          <w:lang w:bidi="pt-BR"/>
        </w:rPr>
        <w:t xml:space="preserve">Art. 3º. O descumprimento ao </w:t>
      </w:r>
      <w:r w:rsidR="00E0152A">
        <w:rPr>
          <w:rFonts w:ascii="Arial" w:hAnsi="Arial" w:cs="Arial"/>
          <w:bCs/>
          <w:lang w:bidi="pt-BR"/>
        </w:rPr>
        <w:t>previsto no artigo 1º desta Lei,</w:t>
      </w:r>
      <w:r w:rsidRPr="00297A58">
        <w:rPr>
          <w:rFonts w:ascii="Arial" w:hAnsi="Arial" w:cs="Arial"/>
          <w:bCs/>
          <w:lang w:bidi="pt-BR"/>
        </w:rPr>
        <w:t xml:space="preserve"> su</w:t>
      </w:r>
      <w:r w:rsidRPr="00297A58">
        <w:rPr>
          <w:rFonts w:ascii="Arial" w:hAnsi="Arial" w:cs="Arial"/>
          <w:bCs/>
          <w:lang w:bidi="pt-BR"/>
        </w:rPr>
        <w:t xml:space="preserve">jeita a empresa concessionária </w:t>
      </w:r>
      <w:r w:rsidRPr="00297A58">
        <w:rPr>
          <w:rFonts w:ascii="Arial" w:hAnsi="Arial" w:cs="Arial"/>
          <w:bCs/>
          <w:lang w:bidi="pt-BR"/>
        </w:rPr>
        <w:t>às seguintes penalidades:</w:t>
      </w:r>
    </w:p>
    <w:p w:rsidR="00297A58" w:rsidRPr="00297A58" w:rsidRDefault="00297A58" w:rsidP="00297A58">
      <w:pPr>
        <w:spacing w:before="240" w:after="120" w:line="360" w:lineRule="auto"/>
        <w:ind w:firstLine="2268"/>
        <w:jc w:val="both"/>
        <w:rPr>
          <w:rFonts w:ascii="Arial" w:hAnsi="Arial" w:cs="Arial"/>
          <w:bCs/>
          <w:lang w:bidi="pt-BR"/>
        </w:rPr>
      </w:pPr>
      <w:r w:rsidRPr="00297A58">
        <w:rPr>
          <w:rFonts w:ascii="Arial" w:hAnsi="Arial" w:cs="Arial"/>
          <w:bCs/>
          <w:lang w:bidi="pt-BR"/>
        </w:rPr>
        <w:t xml:space="preserve">I – Advertência na primeira ocorrência; </w:t>
      </w:r>
    </w:p>
    <w:p w:rsidR="00297A58" w:rsidRPr="00297A58" w:rsidRDefault="00E0152A" w:rsidP="00297A58">
      <w:pPr>
        <w:spacing w:before="240" w:after="120" w:line="360" w:lineRule="auto"/>
        <w:ind w:firstLine="2268"/>
        <w:jc w:val="both"/>
        <w:rPr>
          <w:rFonts w:ascii="Arial" w:hAnsi="Arial" w:cs="Arial"/>
          <w:bCs/>
          <w:lang w:bidi="pt-BR"/>
        </w:rPr>
      </w:pPr>
      <w:r>
        <w:rPr>
          <w:rFonts w:ascii="Arial" w:hAnsi="Arial" w:cs="Arial"/>
          <w:bCs/>
          <w:lang w:bidi="pt-BR"/>
        </w:rPr>
        <w:lastRenderedPageBreak/>
        <w:t>II –  Multa  de  80  URM´S</w:t>
      </w:r>
      <w:r w:rsidR="00297A58" w:rsidRPr="00297A58">
        <w:rPr>
          <w:rFonts w:ascii="Arial" w:hAnsi="Arial" w:cs="Arial"/>
          <w:bCs/>
          <w:lang w:bidi="pt-BR"/>
        </w:rPr>
        <w:t xml:space="preserve">  (</w:t>
      </w:r>
      <w:r>
        <w:rPr>
          <w:rFonts w:ascii="Arial" w:hAnsi="Arial" w:cs="Arial"/>
          <w:bCs/>
          <w:lang w:bidi="pt-BR"/>
        </w:rPr>
        <w:t>Unidade de Referência Municipal</w:t>
      </w:r>
      <w:r w:rsidR="00297A58" w:rsidRPr="00297A58">
        <w:rPr>
          <w:rFonts w:ascii="Arial" w:hAnsi="Arial" w:cs="Arial"/>
          <w:bCs/>
          <w:lang w:bidi="pt-BR"/>
        </w:rPr>
        <w:t xml:space="preserve">)  na </w:t>
      </w:r>
      <w:r w:rsidR="00297A58" w:rsidRPr="00297A58">
        <w:rPr>
          <w:rFonts w:ascii="Arial" w:hAnsi="Arial" w:cs="Arial"/>
          <w:bCs/>
          <w:lang w:bidi="pt-BR"/>
        </w:rPr>
        <w:t xml:space="preserve">segunda ocorrência. </w:t>
      </w:r>
    </w:p>
    <w:p w:rsidR="00297A58" w:rsidRPr="00297A58" w:rsidRDefault="00297A58" w:rsidP="00297A58">
      <w:pPr>
        <w:spacing w:before="240" w:after="120" w:line="360" w:lineRule="auto"/>
        <w:ind w:firstLine="2268"/>
        <w:jc w:val="both"/>
        <w:rPr>
          <w:rFonts w:ascii="Arial" w:hAnsi="Arial" w:cs="Arial"/>
          <w:bCs/>
          <w:lang w:bidi="pt-BR"/>
        </w:rPr>
      </w:pPr>
      <w:r w:rsidRPr="00297A58">
        <w:rPr>
          <w:rFonts w:ascii="Arial" w:hAnsi="Arial" w:cs="Arial"/>
          <w:bCs/>
          <w:lang w:bidi="pt-BR"/>
        </w:rPr>
        <w:t>Parágrafo  único.  Aplica-</w:t>
      </w:r>
      <w:r w:rsidRPr="00297A58">
        <w:rPr>
          <w:rFonts w:ascii="Arial" w:hAnsi="Arial" w:cs="Arial"/>
          <w:bCs/>
          <w:lang w:bidi="pt-BR"/>
        </w:rPr>
        <w:t>se em dobro a</w:t>
      </w:r>
      <w:r w:rsidRPr="00297A58">
        <w:rPr>
          <w:rFonts w:ascii="Arial" w:hAnsi="Arial" w:cs="Arial"/>
          <w:bCs/>
          <w:lang w:bidi="pt-BR"/>
        </w:rPr>
        <w:t xml:space="preserve">  multa  no  caso  de  reincidência  no  período</w:t>
      </w:r>
      <w:r w:rsidRPr="00297A58">
        <w:rPr>
          <w:rFonts w:ascii="Arial" w:hAnsi="Arial" w:cs="Arial"/>
          <w:bCs/>
          <w:lang w:bidi="pt-BR"/>
        </w:rPr>
        <w:t xml:space="preserve">  de  doze </w:t>
      </w:r>
      <w:r w:rsidRPr="00297A58">
        <w:rPr>
          <w:rFonts w:ascii="Arial" w:hAnsi="Arial" w:cs="Arial"/>
          <w:bCs/>
          <w:lang w:bidi="pt-BR"/>
        </w:rPr>
        <w:t>meses da infração anterior.</w:t>
      </w:r>
    </w:p>
    <w:p w:rsidR="00817063" w:rsidRPr="00E0152A" w:rsidRDefault="00E0152A" w:rsidP="00297A58">
      <w:pPr>
        <w:spacing w:before="240" w:after="120" w:line="360" w:lineRule="auto"/>
        <w:ind w:firstLine="2268"/>
        <w:jc w:val="both"/>
        <w:rPr>
          <w:rFonts w:ascii="Arial" w:hAnsi="Arial" w:cs="Arial"/>
          <w:bCs/>
          <w:lang w:bidi="pt-BR"/>
        </w:rPr>
      </w:pPr>
      <w:r w:rsidRPr="00E0152A">
        <w:rPr>
          <w:rFonts w:ascii="Arial" w:hAnsi="Arial" w:cs="Arial"/>
          <w:bCs/>
          <w:lang w:bidi="pt-BR"/>
        </w:rPr>
        <w:t>Art. 4</w:t>
      </w:r>
      <w:r w:rsidR="00817063" w:rsidRPr="00E0152A">
        <w:rPr>
          <w:rFonts w:ascii="Arial" w:hAnsi="Arial" w:cs="Arial"/>
          <w:bCs/>
          <w:lang w:bidi="pt-BR"/>
        </w:rPr>
        <w:t>º. Esta Lei entra em vigor</w:t>
      </w:r>
      <w:r w:rsidRPr="00E0152A">
        <w:rPr>
          <w:rFonts w:ascii="Arial" w:hAnsi="Arial" w:cs="Arial"/>
          <w:bCs/>
          <w:lang w:bidi="pt-BR"/>
        </w:rPr>
        <w:t xml:space="preserve"> 60 (sessenta) dias após </w:t>
      </w:r>
      <w:r w:rsidR="00817063" w:rsidRPr="00E0152A">
        <w:rPr>
          <w:rFonts w:ascii="Arial" w:hAnsi="Arial" w:cs="Arial"/>
          <w:bCs/>
          <w:lang w:bidi="pt-BR"/>
        </w:rPr>
        <w:t>a sua publicação.</w:t>
      </w:r>
    </w:p>
    <w:p w:rsidR="0006309E" w:rsidRDefault="0006309E" w:rsidP="00B1076C">
      <w:pPr>
        <w:jc w:val="center"/>
        <w:rPr>
          <w:rFonts w:ascii="Arial" w:hAnsi="Arial" w:cs="Arial"/>
        </w:rPr>
      </w:pPr>
    </w:p>
    <w:p w:rsidR="00817063" w:rsidRDefault="00817063" w:rsidP="00B1076C">
      <w:pPr>
        <w:jc w:val="center"/>
        <w:rPr>
          <w:rFonts w:ascii="Arial" w:hAnsi="Arial" w:cs="Arial"/>
        </w:rPr>
      </w:pPr>
    </w:p>
    <w:p w:rsidR="00FC19C7" w:rsidRPr="00B1076C" w:rsidRDefault="00FC19C7" w:rsidP="00B1076C">
      <w:pPr>
        <w:jc w:val="center"/>
        <w:rPr>
          <w:rFonts w:ascii="Arial" w:hAnsi="Arial" w:cs="Arial"/>
        </w:rPr>
      </w:pPr>
      <w:r w:rsidRPr="00B1076C">
        <w:rPr>
          <w:rFonts w:ascii="Arial" w:hAnsi="Arial" w:cs="Arial"/>
        </w:rPr>
        <w:t>Maria Ivete de Godoy Grade</w:t>
      </w:r>
    </w:p>
    <w:p w:rsidR="00FC19C7" w:rsidRPr="00B1076C" w:rsidRDefault="00FC19C7" w:rsidP="00B1076C">
      <w:pPr>
        <w:jc w:val="both"/>
        <w:rPr>
          <w:rFonts w:ascii="Arial" w:hAnsi="Arial" w:cs="Arial"/>
        </w:rPr>
      </w:pPr>
      <w:r w:rsidRPr="00B1076C">
        <w:rPr>
          <w:rFonts w:ascii="Arial" w:hAnsi="Arial" w:cs="Arial"/>
        </w:rPr>
        <w:tab/>
      </w:r>
      <w:r w:rsidRPr="00B1076C">
        <w:rPr>
          <w:rFonts w:ascii="Arial" w:hAnsi="Arial" w:cs="Arial"/>
        </w:rPr>
        <w:tab/>
      </w:r>
      <w:r w:rsidRPr="00B1076C">
        <w:rPr>
          <w:rFonts w:ascii="Arial" w:hAnsi="Arial" w:cs="Arial"/>
        </w:rPr>
        <w:tab/>
      </w:r>
      <w:r w:rsidRPr="00B1076C">
        <w:rPr>
          <w:rFonts w:ascii="Arial" w:hAnsi="Arial" w:cs="Arial"/>
        </w:rPr>
        <w:tab/>
      </w:r>
      <w:r w:rsidRPr="00B1076C">
        <w:rPr>
          <w:rFonts w:ascii="Arial" w:hAnsi="Arial" w:cs="Arial"/>
        </w:rPr>
        <w:tab/>
        <w:t>Prefeita Municipal</w:t>
      </w:r>
    </w:p>
    <w:p w:rsidR="00FC19C7" w:rsidRPr="00B1076C" w:rsidRDefault="00FC19C7" w:rsidP="00FC19C7">
      <w:pPr>
        <w:spacing w:line="360" w:lineRule="auto"/>
        <w:jc w:val="both"/>
        <w:rPr>
          <w:rFonts w:ascii="Arial" w:hAnsi="Arial" w:cs="Arial"/>
        </w:rPr>
      </w:pPr>
    </w:p>
    <w:p w:rsidR="00FC19C7" w:rsidRPr="00B1076C" w:rsidRDefault="00FC19C7" w:rsidP="00FC19C7">
      <w:pPr>
        <w:spacing w:line="360" w:lineRule="auto"/>
        <w:jc w:val="both"/>
        <w:rPr>
          <w:rFonts w:ascii="Arial" w:hAnsi="Arial" w:cs="Arial"/>
        </w:rPr>
      </w:pPr>
    </w:p>
    <w:p w:rsidR="002D391B" w:rsidRPr="00B1076C" w:rsidRDefault="000D5A75" w:rsidP="000D5A75">
      <w:pPr>
        <w:spacing w:line="360" w:lineRule="auto"/>
        <w:jc w:val="both"/>
        <w:rPr>
          <w:rFonts w:ascii="Arial" w:hAnsi="Arial" w:cs="Arial"/>
        </w:rPr>
      </w:pPr>
      <w:r>
        <w:rPr>
          <w:rFonts w:ascii="Arial" w:hAnsi="Arial" w:cs="Arial"/>
        </w:rPr>
        <w:t>Registre-se e Publique-se.</w:t>
      </w:r>
    </w:p>
    <w:p w:rsidR="00930D94" w:rsidRPr="00B1076C" w:rsidRDefault="00930D94" w:rsidP="008A59F2">
      <w:pPr>
        <w:jc w:val="both"/>
        <w:rPr>
          <w:rFonts w:ascii="Arial" w:hAnsi="Arial" w:cs="Arial"/>
        </w:rPr>
      </w:pPr>
    </w:p>
    <w:sectPr w:rsidR="00930D94" w:rsidRPr="00B1076C" w:rsidSect="00975602">
      <w:pgSz w:w="11907" w:h="16840" w:code="9"/>
      <w:pgMar w:top="2948"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DB6" w:rsidRDefault="00422DB6" w:rsidP="00997FE2">
      <w:r>
        <w:separator/>
      </w:r>
    </w:p>
  </w:endnote>
  <w:endnote w:type="continuationSeparator" w:id="0">
    <w:p w:rsidR="00422DB6" w:rsidRDefault="00422DB6" w:rsidP="00997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 Vera Sans">
    <w:altName w:val="Malgun Gothic"/>
    <w:charset w:val="00"/>
    <w:family w:val="swiss"/>
    <w:pitch w:val="variable"/>
    <w:sig w:usb0="00000003"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DB6" w:rsidRDefault="00422DB6" w:rsidP="00997FE2">
      <w:r>
        <w:separator/>
      </w:r>
    </w:p>
  </w:footnote>
  <w:footnote w:type="continuationSeparator" w:id="0">
    <w:p w:rsidR="00422DB6" w:rsidRDefault="00422DB6" w:rsidP="00997F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19495CFE"/>
    <w:lvl w:ilvl="0" w:tplc="FFFFFFFF">
      <w:start w:val="1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24521DB"/>
    <w:multiLevelType w:val="singleLevel"/>
    <w:tmpl w:val="2DBCCD7E"/>
    <w:lvl w:ilvl="0">
      <w:start w:val="1"/>
      <w:numFmt w:val="lowerLetter"/>
      <w:lvlText w:val="%1)"/>
      <w:lvlJc w:val="left"/>
      <w:pPr>
        <w:tabs>
          <w:tab w:val="num" w:pos="1560"/>
        </w:tabs>
        <w:ind w:left="1560" w:hanging="360"/>
      </w:pPr>
    </w:lvl>
  </w:abstractNum>
  <w:abstractNum w:abstractNumId="3">
    <w:nsid w:val="12D1022C"/>
    <w:multiLevelType w:val="singleLevel"/>
    <w:tmpl w:val="17882494"/>
    <w:lvl w:ilvl="0">
      <w:start w:val="1"/>
      <w:numFmt w:val="lowerLetter"/>
      <w:lvlText w:val="%1)"/>
      <w:lvlJc w:val="left"/>
      <w:pPr>
        <w:tabs>
          <w:tab w:val="num" w:pos="1560"/>
        </w:tabs>
        <w:ind w:left="1560" w:hanging="360"/>
      </w:pPr>
    </w:lvl>
  </w:abstractNum>
  <w:abstractNum w:abstractNumId="4">
    <w:nsid w:val="2E511502"/>
    <w:multiLevelType w:val="singleLevel"/>
    <w:tmpl w:val="1F2E94D6"/>
    <w:lvl w:ilvl="0">
      <w:start w:val="1"/>
      <w:numFmt w:val="lowerLetter"/>
      <w:lvlText w:val="%1)"/>
      <w:lvlJc w:val="left"/>
      <w:pPr>
        <w:tabs>
          <w:tab w:val="num" w:pos="1560"/>
        </w:tabs>
        <w:ind w:left="1560" w:hanging="360"/>
      </w:pPr>
    </w:lvl>
  </w:abstractNum>
  <w:abstractNum w:abstractNumId="5">
    <w:nsid w:val="3A3F50B5"/>
    <w:multiLevelType w:val="singleLevel"/>
    <w:tmpl w:val="0868C88A"/>
    <w:lvl w:ilvl="0">
      <w:start w:val="1"/>
      <w:numFmt w:val="lowerLetter"/>
      <w:lvlText w:val="%1)"/>
      <w:lvlJc w:val="left"/>
      <w:pPr>
        <w:tabs>
          <w:tab w:val="num" w:pos="1500"/>
        </w:tabs>
        <w:ind w:left="1500" w:hanging="360"/>
      </w:pPr>
    </w:lvl>
  </w:abstractNum>
  <w:abstractNum w:abstractNumId="6">
    <w:nsid w:val="51DB7493"/>
    <w:multiLevelType w:val="singleLevel"/>
    <w:tmpl w:val="F920EA62"/>
    <w:lvl w:ilvl="0">
      <w:start w:val="1"/>
      <w:numFmt w:val="lowerLetter"/>
      <w:lvlText w:val="%1)"/>
      <w:lvlJc w:val="left"/>
      <w:pPr>
        <w:tabs>
          <w:tab w:val="num" w:pos="2760"/>
        </w:tabs>
        <w:ind w:left="2760" w:hanging="360"/>
      </w:pPr>
    </w:lvl>
  </w:abstractNum>
  <w:abstractNum w:abstractNumId="7">
    <w:nsid w:val="5F95347B"/>
    <w:multiLevelType w:val="singleLevel"/>
    <w:tmpl w:val="395AC280"/>
    <w:lvl w:ilvl="0">
      <w:start w:val="1"/>
      <w:numFmt w:val="lowerLetter"/>
      <w:lvlText w:val="%1)"/>
      <w:lvlJc w:val="left"/>
      <w:pPr>
        <w:tabs>
          <w:tab w:val="num" w:pos="1560"/>
        </w:tabs>
        <w:ind w:left="1560" w:hanging="360"/>
      </w:pPr>
    </w:lvl>
  </w:abstractNum>
  <w:abstractNum w:abstractNumId="8">
    <w:nsid w:val="6C652448"/>
    <w:multiLevelType w:val="singleLevel"/>
    <w:tmpl w:val="42A4213A"/>
    <w:lvl w:ilvl="0">
      <w:start w:val="1"/>
      <w:numFmt w:val="lowerLetter"/>
      <w:lvlText w:val="%1)"/>
      <w:lvlJc w:val="left"/>
      <w:pPr>
        <w:tabs>
          <w:tab w:val="num" w:pos="1560"/>
        </w:tabs>
        <w:ind w:left="1560" w:hanging="360"/>
      </w:pPr>
    </w:lvl>
  </w:abstractNum>
  <w:abstractNum w:abstractNumId="9">
    <w:nsid w:val="6CD62E9B"/>
    <w:multiLevelType w:val="singleLevel"/>
    <w:tmpl w:val="3ECED266"/>
    <w:lvl w:ilvl="0">
      <w:start w:val="1"/>
      <w:numFmt w:val="lowerLetter"/>
      <w:lvlText w:val="%1)"/>
      <w:lvlJc w:val="left"/>
      <w:pPr>
        <w:tabs>
          <w:tab w:val="num" w:pos="1560"/>
        </w:tabs>
        <w:ind w:left="1560" w:hanging="360"/>
      </w:pPr>
    </w:lvl>
  </w:abstractNum>
  <w:abstractNum w:abstractNumId="10">
    <w:nsid w:val="729D47DB"/>
    <w:multiLevelType w:val="singleLevel"/>
    <w:tmpl w:val="B9E62422"/>
    <w:lvl w:ilvl="0">
      <w:start w:val="1"/>
      <w:numFmt w:val="lowerLetter"/>
      <w:lvlText w:val="%1)"/>
      <w:lvlJc w:val="left"/>
      <w:pPr>
        <w:tabs>
          <w:tab w:val="num" w:pos="1560"/>
        </w:tabs>
        <w:ind w:left="1560" w:hanging="360"/>
      </w:pPr>
    </w:lvl>
  </w:abstractNum>
  <w:abstractNum w:abstractNumId="11">
    <w:nsid w:val="74DE2F9F"/>
    <w:multiLevelType w:val="singleLevel"/>
    <w:tmpl w:val="37FACBEE"/>
    <w:lvl w:ilvl="0">
      <w:start w:val="1"/>
      <w:numFmt w:val="lowerLetter"/>
      <w:lvlText w:val="%1)"/>
      <w:lvlJc w:val="left"/>
      <w:pPr>
        <w:tabs>
          <w:tab w:val="num" w:pos="1560"/>
        </w:tabs>
        <w:ind w:left="1560" w:hanging="360"/>
      </w:pPr>
    </w:lvl>
  </w:abstractNum>
  <w:abstractNum w:abstractNumId="12">
    <w:nsid w:val="7C274114"/>
    <w:multiLevelType w:val="singleLevel"/>
    <w:tmpl w:val="95BE0F92"/>
    <w:lvl w:ilvl="0">
      <w:start w:val="1"/>
      <w:numFmt w:val="lowerLetter"/>
      <w:lvlText w:val="%1)"/>
      <w:lvlJc w:val="left"/>
      <w:pPr>
        <w:tabs>
          <w:tab w:val="num" w:pos="1560"/>
        </w:tabs>
        <w:ind w:left="1560" w:hanging="360"/>
      </w:pPr>
    </w:lvl>
  </w:abstractNum>
  <w:num w:numId="1">
    <w:abstractNumId w:val="7"/>
    <w:lvlOverride w:ilvl="0">
      <w:startOverride w:val="1"/>
    </w:lvlOverride>
  </w:num>
  <w:num w:numId="2">
    <w:abstractNumId w:val="2"/>
    <w:lvlOverride w:ilvl="0">
      <w:startOverride w:val="1"/>
    </w:lvlOverride>
  </w:num>
  <w:num w:numId="3">
    <w:abstractNumId w:val="9"/>
    <w:lvlOverride w:ilvl="0">
      <w:startOverride w:val="1"/>
    </w:lvlOverride>
  </w:num>
  <w:num w:numId="4">
    <w:abstractNumId w:val="3"/>
    <w:lvlOverride w:ilvl="0">
      <w:startOverride w:val="1"/>
    </w:lvlOverride>
  </w:num>
  <w:num w:numId="5">
    <w:abstractNumId w:val="11"/>
    <w:lvlOverride w:ilvl="0">
      <w:startOverride w:val="1"/>
    </w:lvlOverride>
  </w:num>
  <w:num w:numId="6">
    <w:abstractNumId w:val="10"/>
    <w:lvlOverride w:ilvl="0">
      <w:startOverride w:val="1"/>
    </w:lvlOverride>
  </w:num>
  <w:num w:numId="7">
    <w:abstractNumId w:val="6"/>
    <w:lvlOverride w:ilvl="0">
      <w:startOverride w:val="1"/>
    </w:lvlOverride>
  </w:num>
  <w:num w:numId="8">
    <w:abstractNumId w:val="4"/>
    <w:lvlOverride w:ilvl="0">
      <w:startOverride w:val="1"/>
    </w:lvlOverride>
  </w:num>
  <w:num w:numId="9">
    <w:abstractNumId w:val="5"/>
    <w:lvlOverride w:ilvl="0">
      <w:startOverride w:val="1"/>
    </w:lvlOverride>
  </w:num>
  <w:num w:numId="10">
    <w:abstractNumId w:val="8"/>
    <w:lvlOverride w:ilvl="0">
      <w:startOverride w:val="1"/>
    </w:lvlOverride>
  </w:num>
  <w:num w:numId="11">
    <w:abstractNumId w:val="12"/>
    <w:lvlOverride w:ilvl="0">
      <w:startOverride w:val="1"/>
    </w:lvlOverride>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67C"/>
    <w:rsid w:val="00017AB5"/>
    <w:rsid w:val="0006309E"/>
    <w:rsid w:val="000861A8"/>
    <w:rsid w:val="000B2599"/>
    <w:rsid w:val="000D5A75"/>
    <w:rsid w:val="000F2568"/>
    <w:rsid w:val="00115800"/>
    <w:rsid w:val="00131A76"/>
    <w:rsid w:val="00137D99"/>
    <w:rsid w:val="001553A6"/>
    <w:rsid w:val="0015567D"/>
    <w:rsid w:val="00162CBE"/>
    <w:rsid w:val="001827A1"/>
    <w:rsid w:val="001D3ADF"/>
    <w:rsid w:val="001D7272"/>
    <w:rsid w:val="00232290"/>
    <w:rsid w:val="00243362"/>
    <w:rsid w:val="00256E17"/>
    <w:rsid w:val="0029090F"/>
    <w:rsid w:val="00297A58"/>
    <w:rsid w:val="002B41E6"/>
    <w:rsid w:val="002C2FDC"/>
    <w:rsid w:val="002D391B"/>
    <w:rsid w:val="002D769C"/>
    <w:rsid w:val="002E6D2B"/>
    <w:rsid w:val="003009F6"/>
    <w:rsid w:val="003459BB"/>
    <w:rsid w:val="003B7A5B"/>
    <w:rsid w:val="003D1843"/>
    <w:rsid w:val="0040023B"/>
    <w:rsid w:val="00422DB6"/>
    <w:rsid w:val="00452EDB"/>
    <w:rsid w:val="00466174"/>
    <w:rsid w:val="004745B5"/>
    <w:rsid w:val="004E347B"/>
    <w:rsid w:val="00512DD1"/>
    <w:rsid w:val="005145C7"/>
    <w:rsid w:val="0053545F"/>
    <w:rsid w:val="005776A5"/>
    <w:rsid w:val="0059308E"/>
    <w:rsid w:val="005F7585"/>
    <w:rsid w:val="00604B82"/>
    <w:rsid w:val="006223F6"/>
    <w:rsid w:val="00664643"/>
    <w:rsid w:val="00672002"/>
    <w:rsid w:val="00672A36"/>
    <w:rsid w:val="006A6DB1"/>
    <w:rsid w:val="006F1C4B"/>
    <w:rsid w:val="007032BA"/>
    <w:rsid w:val="00705AEB"/>
    <w:rsid w:val="00723EF0"/>
    <w:rsid w:val="007465F9"/>
    <w:rsid w:val="007B4FD3"/>
    <w:rsid w:val="007C1132"/>
    <w:rsid w:val="00817063"/>
    <w:rsid w:val="00894F8E"/>
    <w:rsid w:val="008A59F2"/>
    <w:rsid w:val="009039C0"/>
    <w:rsid w:val="00905E7C"/>
    <w:rsid w:val="00930D94"/>
    <w:rsid w:val="009515FD"/>
    <w:rsid w:val="00960D17"/>
    <w:rsid w:val="00975602"/>
    <w:rsid w:val="00997FE2"/>
    <w:rsid w:val="009A6E0C"/>
    <w:rsid w:val="009B4F6C"/>
    <w:rsid w:val="009F4739"/>
    <w:rsid w:val="00A16116"/>
    <w:rsid w:val="00A406A1"/>
    <w:rsid w:val="00A632AF"/>
    <w:rsid w:val="00AA3D02"/>
    <w:rsid w:val="00AC3D96"/>
    <w:rsid w:val="00AF4D30"/>
    <w:rsid w:val="00B020C0"/>
    <w:rsid w:val="00B1076C"/>
    <w:rsid w:val="00B12658"/>
    <w:rsid w:val="00B73577"/>
    <w:rsid w:val="00BA2075"/>
    <w:rsid w:val="00BA794B"/>
    <w:rsid w:val="00BB7683"/>
    <w:rsid w:val="00C03331"/>
    <w:rsid w:val="00C40646"/>
    <w:rsid w:val="00C40B38"/>
    <w:rsid w:val="00C9515C"/>
    <w:rsid w:val="00CA10DD"/>
    <w:rsid w:val="00CB367C"/>
    <w:rsid w:val="00DA12F5"/>
    <w:rsid w:val="00DB5B7E"/>
    <w:rsid w:val="00E0152A"/>
    <w:rsid w:val="00E27771"/>
    <w:rsid w:val="00E74165"/>
    <w:rsid w:val="00E9793E"/>
    <w:rsid w:val="00ED5343"/>
    <w:rsid w:val="00ED59A4"/>
    <w:rsid w:val="00EF4916"/>
    <w:rsid w:val="00F2361F"/>
    <w:rsid w:val="00F4063F"/>
    <w:rsid w:val="00F62AD9"/>
    <w:rsid w:val="00F70B82"/>
    <w:rsid w:val="00FB4698"/>
    <w:rsid w:val="00FC19C7"/>
    <w:rsid w:val="00FD14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3FE198-2147-4E17-B5DC-55D186D2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semiHidden/>
    <w:pPr>
      <w:ind w:left="4245"/>
      <w:jc w:val="both"/>
    </w:pPr>
  </w:style>
  <w:style w:type="paragraph" w:styleId="Corpodetexto">
    <w:name w:val="Body Text"/>
    <w:basedOn w:val="Normal"/>
    <w:semiHidden/>
    <w:pPr>
      <w:jc w:val="both"/>
    </w:pPr>
  </w:style>
  <w:style w:type="paragraph" w:styleId="Textodenotaderodap">
    <w:name w:val="footnote text"/>
    <w:basedOn w:val="Normal"/>
    <w:link w:val="TextodenotaderodapChar"/>
    <w:uiPriority w:val="99"/>
    <w:semiHidden/>
    <w:unhideWhenUsed/>
    <w:rsid w:val="00997FE2"/>
    <w:rPr>
      <w:sz w:val="20"/>
      <w:szCs w:val="20"/>
    </w:rPr>
  </w:style>
  <w:style w:type="character" w:customStyle="1" w:styleId="TextodenotaderodapChar">
    <w:name w:val="Texto de nota de rodapé Char"/>
    <w:basedOn w:val="Fontepargpadro"/>
    <w:link w:val="Textodenotaderodap"/>
    <w:uiPriority w:val="99"/>
    <w:semiHidden/>
    <w:rsid w:val="00997FE2"/>
  </w:style>
  <w:style w:type="character" w:styleId="Refdenotaderodap">
    <w:name w:val="footnote reference"/>
    <w:uiPriority w:val="99"/>
    <w:semiHidden/>
    <w:unhideWhenUsed/>
    <w:rsid w:val="00997FE2"/>
    <w:rPr>
      <w:vertAlign w:val="superscript"/>
    </w:rPr>
  </w:style>
  <w:style w:type="paragraph" w:styleId="Textodebalo">
    <w:name w:val="Balloon Text"/>
    <w:basedOn w:val="Normal"/>
    <w:link w:val="TextodebaloChar"/>
    <w:uiPriority w:val="99"/>
    <w:semiHidden/>
    <w:unhideWhenUsed/>
    <w:rsid w:val="006A6DB1"/>
    <w:rPr>
      <w:rFonts w:ascii="Segoe UI" w:hAnsi="Segoe UI" w:cs="Segoe UI"/>
      <w:sz w:val="18"/>
      <w:szCs w:val="18"/>
    </w:rPr>
  </w:style>
  <w:style w:type="character" w:customStyle="1" w:styleId="TextodebaloChar">
    <w:name w:val="Texto de balão Char"/>
    <w:link w:val="Textodebalo"/>
    <w:uiPriority w:val="99"/>
    <w:semiHidden/>
    <w:rsid w:val="006A6DB1"/>
    <w:rPr>
      <w:rFonts w:ascii="Segoe UI" w:hAnsi="Segoe UI" w:cs="Segoe UI"/>
      <w:sz w:val="18"/>
      <w:szCs w:val="18"/>
    </w:rPr>
  </w:style>
  <w:style w:type="paragraph" w:customStyle="1" w:styleId="Ementa-Corpo">
    <w:name w:val="Ementa - Corpo"/>
    <w:basedOn w:val="Normal"/>
    <w:rsid w:val="00A16116"/>
    <w:pPr>
      <w:ind w:left="2835"/>
      <w:jc w:val="both"/>
    </w:pPr>
    <w:rPr>
      <w:rFonts w:ascii="Ecofont Vera Sans" w:hAnsi="Ecofont Vera Sans" w:cs="Arial"/>
      <w:b/>
      <w:bCs/>
      <w:sz w:val="22"/>
      <w:szCs w:val="22"/>
    </w:rPr>
  </w:style>
  <w:style w:type="paragraph" w:styleId="Cabealho">
    <w:name w:val="header"/>
    <w:basedOn w:val="Normal"/>
    <w:link w:val="CabealhoChar"/>
    <w:uiPriority w:val="99"/>
    <w:semiHidden/>
    <w:unhideWhenUsed/>
    <w:rsid w:val="00232290"/>
    <w:pPr>
      <w:tabs>
        <w:tab w:val="center" w:pos="4252"/>
        <w:tab w:val="right" w:pos="8504"/>
      </w:tabs>
    </w:pPr>
  </w:style>
  <w:style w:type="character" w:customStyle="1" w:styleId="CabealhoChar">
    <w:name w:val="Cabeçalho Char"/>
    <w:link w:val="Cabealho"/>
    <w:uiPriority w:val="99"/>
    <w:semiHidden/>
    <w:rsid w:val="00232290"/>
    <w:rPr>
      <w:sz w:val="24"/>
      <w:szCs w:val="24"/>
    </w:rPr>
  </w:style>
  <w:style w:type="paragraph" w:styleId="NormalWeb">
    <w:name w:val="Normal (Web)"/>
    <w:basedOn w:val="Normal"/>
    <w:uiPriority w:val="99"/>
    <w:unhideWhenUsed/>
    <w:rsid w:val="002D769C"/>
    <w:pPr>
      <w:spacing w:before="100" w:beforeAutospacing="1" w:after="100" w:afterAutospacing="1"/>
    </w:pPr>
  </w:style>
  <w:style w:type="character" w:styleId="Hyperlink">
    <w:name w:val="Hyperlink"/>
    <w:basedOn w:val="Fontepargpadro"/>
    <w:uiPriority w:val="99"/>
    <w:unhideWhenUsed/>
    <w:rsid w:val="002E6D2B"/>
    <w:rPr>
      <w:color w:val="0563C1" w:themeColor="hyperlink"/>
      <w:u w:val="single"/>
    </w:rPr>
  </w:style>
  <w:style w:type="paragraph" w:styleId="Citao">
    <w:name w:val="Quote"/>
    <w:basedOn w:val="Normal"/>
    <w:link w:val="CitaoChar"/>
    <w:uiPriority w:val="29"/>
    <w:qFormat/>
    <w:rsid w:val="00664643"/>
    <w:pPr>
      <w:spacing w:before="100" w:beforeAutospacing="1" w:after="100" w:afterAutospacing="1"/>
    </w:pPr>
  </w:style>
  <w:style w:type="character" w:customStyle="1" w:styleId="CitaoChar">
    <w:name w:val="Citação Char"/>
    <w:basedOn w:val="Fontepargpadro"/>
    <w:link w:val="Citao"/>
    <w:uiPriority w:val="29"/>
    <w:rsid w:val="00664643"/>
    <w:rPr>
      <w:sz w:val="24"/>
      <w:szCs w:val="24"/>
    </w:rPr>
  </w:style>
  <w:style w:type="character" w:styleId="Forte">
    <w:name w:val="Strong"/>
    <w:basedOn w:val="Fontepargpadro"/>
    <w:uiPriority w:val="22"/>
    <w:qFormat/>
    <w:rsid w:val="006646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64500">
      <w:bodyDiv w:val="1"/>
      <w:marLeft w:val="0"/>
      <w:marRight w:val="0"/>
      <w:marTop w:val="0"/>
      <w:marBottom w:val="0"/>
      <w:divBdr>
        <w:top w:val="none" w:sz="0" w:space="0" w:color="auto"/>
        <w:left w:val="none" w:sz="0" w:space="0" w:color="auto"/>
        <w:bottom w:val="none" w:sz="0" w:space="0" w:color="auto"/>
        <w:right w:val="none" w:sz="0" w:space="0" w:color="auto"/>
      </w:divBdr>
      <w:divsChild>
        <w:div w:id="1866481358">
          <w:marLeft w:val="0"/>
          <w:marRight w:val="0"/>
          <w:marTop w:val="0"/>
          <w:marBottom w:val="0"/>
          <w:divBdr>
            <w:top w:val="none" w:sz="0" w:space="0" w:color="auto"/>
            <w:left w:val="none" w:sz="0" w:space="0" w:color="auto"/>
            <w:bottom w:val="none" w:sz="0" w:space="0" w:color="auto"/>
            <w:right w:val="none" w:sz="0" w:space="0" w:color="auto"/>
          </w:divBdr>
        </w:div>
        <w:div w:id="56317998">
          <w:marLeft w:val="0"/>
          <w:marRight w:val="0"/>
          <w:marTop w:val="0"/>
          <w:marBottom w:val="0"/>
          <w:divBdr>
            <w:top w:val="none" w:sz="0" w:space="0" w:color="auto"/>
            <w:left w:val="none" w:sz="0" w:space="0" w:color="auto"/>
            <w:bottom w:val="none" w:sz="0" w:space="0" w:color="auto"/>
            <w:right w:val="none" w:sz="0" w:space="0" w:color="auto"/>
          </w:divBdr>
        </w:div>
      </w:divsChild>
    </w:div>
    <w:div w:id="77482046">
      <w:bodyDiv w:val="1"/>
      <w:marLeft w:val="0"/>
      <w:marRight w:val="0"/>
      <w:marTop w:val="0"/>
      <w:marBottom w:val="0"/>
      <w:divBdr>
        <w:top w:val="none" w:sz="0" w:space="0" w:color="auto"/>
        <w:left w:val="none" w:sz="0" w:space="0" w:color="auto"/>
        <w:bottom w:val="none" w:sz="0" w:space="0" w:color="auto"/>
        <w:right w:val="none" w:sz="0" w:space="0" w:color="auto"/>
      </w:divBdr>
    </w:div>
    <w:div w:id="229199246">
      <w:bodyDiv w:val="1"/>
      <w:marLeft w:val="0"/>
      <w:marRight w:val="0"/>
      <w:marTop w:val="0"/>
      <w:marBottom w:val="0"/>
      <w:divBdr>
        <w:top w:val="none" w:sz="0" w:space="0" w:color="auto"/>
        <w:left w:val="none" w:sz="0" w:space="0" w:color="auto"/>
        <w:bottom w:val="none" w:sz="0" w:space="0" w:color="auto"/>
        <w:right w:val="none" w:sz="0" w:space="0" w:color="auto"/>
      </w:divBdr>
    </w:div>
    <w:div w:id="533277715">
      <w:bodyDiv w:val="1"/>
      <w:marLeft w:val="0"/>
      <w:marRight w:val="0"/>
      <w:marTop w:val="0"/>
      <w:marBottom w:val="0"/>
      <w:divBdr>
        <w:top w:val="none" w:sz="0" w:space="0" w:color="auto"/>
        <w:left w:val="none" w:sz="0" w:space="0" w:color="auto"/>
        <w:bottom w:val="none" w:sz="0" w:space="0" w:color="auto"/>
        <w:right w:val="none" w:sz="0" w:space="0" w:color="auto"/>
      </w:divBdr>
    </w:div>
    <w:div w:id="546379167">
      <w:bodyDiv w:val="1"/>
      <w:marLeft w:val="0"/>
      <w:marRight w:val="0"/>
      <w:marTop w:val="0"/>
      <w:marBottom w:val="0"/>
      <w:divBdr>
        <w:top w:val="none" w:sz="0" w:space="0" w:color="auto"/>
        <w:left w:val="none" w:sz="0" w:space="0" w:color="auto"/>
        <w:bottom w:val="none" w:sz="0" w:space="0" w:color="auto"/>
        <w:right w:val="none" w:sz="0" w:space="0" w:color="auto"/>
      </w:divBdr>
    </w:div>
    <w:div w:id="627736307">
      <w:bodyDiv w:val="1"/>
      <w:marLeft w:val="0"/>
      <w:marRight w:val="0"/>
      <w:marTop w:val="0"/>
      <w:marBottom w:val="0"/>
      <w:divBdr>
        <w:top w:val="none" w:sz="0" w:space="0" w:color="auto"/>
        <w:left w:val="none" w:sz="0" w:space="0" w:color="auto"/>
        <w:bottom w:val="none" w:sz="0" w:space="0" w:color="auto"/>
        <w:right w:val="none" w:sz="0" w:space="0" w:color="auto"/>
      </w:divBdr>
      <w:divsChild>
        <w:div w:id="495389861">
          <w:marLeft w:val="0"/>
          <w:marRight w:val="0"/>
          <w:marTop w:val="0"/>
          <w:marBottom w:val="0"/>
          <w:divBdr>
            <w:top w:val="none" w:sz="0" w:space="0" w:color="auto"/>
            <w:left w:val="none" w:sz="0" w:space="0" w:color="auto"/>
            <w:bottom w:val="none" w:sz="0" w:space="0" w:color="auto"/>
            <w:right w:val="none" w:sz="0" w:space="0" w:color="auto"/>
          </w:divBdr>
          <w:divsChild>
            <w:div w:id="453644854">
              <w:marLeft w:val="0"/>
              <w:marRight w:val="0"/>
              <w:marTop w:val="0"/>
              <w:marBottom w:val="0"/>
              <w:divBdr>
                <w:top w:val="none" w:sz="0" w:space="0" w:color="auto"/>
                <w:left w:val="none" w:sz="0" w:space="0" w:color="auto"/>
                <w:bottom w:val="none" w:sz="0" w:space="0" w:color="auto"/>
                <w:right w:val="none" w:sz="0" w:space="0" w:color="auto"/>
              </w:divBdr>
              <w:divsChild>
                <w:div w:id="129787138">
                  <w:marLeft w:val="0"/>
                  <w:marRight w:val="0"/>
                  <w:marTop w:val="0"/>
                  <w:marBottom w:val="0"/>
                  <w:divBdr>
                    <w:top w:val="none" w:sz="0" w:space="0" w:color="auto"/>
                    <w:left w:val="none" w:sz="0" w:space="0" w:color="auto"/>
                    <w:bottom w:val="none" w:sz="0" w:space="0" w:color="auto"/>
                    <w:right w:val="none" w:sz="0" w:space="0" w:color="auto"/>
                  </w:divBdr>
                  <w:divsChild>
                    <w:div w:id="1067457344">
                      <w:marLeft w:val="0"/>
                      <w:marRight w:val="0"/>
                      <w:marTop w:val="0"/>
                      <w:marBottom w:val="0"/>
                      <w:divBdr>
                        <w:top w:val="none" w:sz="0" w:space="0" w:color="auto"/>
                        <w:left w:val="none" w:sz="0" w:space="0" w:color="auto"/>
                        <w:bottom w:val="none" w:sz="0" w:space="0" w:color="auto"/>
                        <w:right w:val="none" w:sz="0" w:space="0" w:color="auto"/>
                      </w:divBdr>
                      <w:divsChild>
                        <w:div w:id="22177524">
                          <w:marLeft w:val="0"/>
                          <w:marRight w:val="0"/>
                          <w:marTop w:val="0"/>
                          <w:marBottom w:val="0"/>
                          <w:divBdr>
                            <w:top w:val="none" w:sz="0" w:space="0" w:color="auto"/>
                            <w:left w:val="none" w:sz="0" w:space="0" w:color="auto"/>
                            <w:bottom w:val="none" w:sz="0" w:space="0" w:color="auto"/>
                            <w:right w:val="none" w:sz="0" w:space="0" w:color="auto"/>
                          </w:divBdr>
                          <w:divsChild>
                            <w:div w:id="23274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834391">
      <w:bodyDiv w:val="1"/>
      <w:marLeft w:val="0"/>
      <w:marRight w:val="0"/>
      <w:marTop w:val="0"/>
      <w:marBottom w:val="0"/>
      <w:divBdr>
        <w:top w:val="none" w:sz="0" w:space="0" w:color="auto"/>
        <w:left w:val="none" w:sz="0" w:space="0" w:color="auto"/>
        <w:bottom w:val="none" w:sz="0" w:space="0" w:color="auto"/>
        <w:right w:val="none" w:sz="0" w:space="0" w:color="auto"/>
      </w:divBdr>
    </w:div>
    <w:div w:id="1330448573">
      <w:bodyDiv w:val="1"/>
      <w:marLeft w:val="0"/>
      <w:marRight w:val="0"/>
      <w:marTop w:val="0"/>
      <w:marBottom w:val="0"/>
      <w:divBdr>
        <w:top w:val="none" w:sz="0" w:space="0" w:color="auto"/>
        <w:left w:val="none" w:sz="0" w:space="0" w:color="auto"/>
        <w:bottom w:val="none" w:sz="0" w:space="0" w:color="auto"/>
        <w:right w:val="none" w:sz="0" w:space="0" w:color="auto"/>
      </w:divBdr>
    </w:div>
    <w:div w:id="1482189355">
      <w:bodyDiv w:val="1"/>
      <w:marLeft w:val="0"/>
      <w:marRight w:val="0"/>
      <w:marTop w:val="0"/>
      <w:marBottom w:val="0"/>
      <w:divBdr>
        <w:top w:val="none" w:sz="0" w:space="0" w:color="auto"/>
        <w:left w:val="none" w:sz="0" w:space="0" w:color="auto"/>
        <w:bottom w:val="none" w:sz="0" w:space="0" w:color="auto"/>
        <w:right w:val="none" w:sz="0" w:space="0" w:color="auto"/>
      </w:divBdr>
    </w:div>
    <w:div w:id="1637906572">
      <w:bodyDiv w:val="1"/>
      <w:marLeft w:val="0"/>
      <w:marRight w:val="0"/>
      <w:marTop w:val="0"/>
      <w:marBottom w:val="0"/>
      <w:divBdr>
        <w:top w:val="none" w:sz="0" w:space="0" w:color="auto"/>
        <w:left w:val="none" w:sz="0" w:space="0" w:color="auto"/>
        <w:bottom w:val="none" w:sz="0" w:space="0" w:color="auto"/>
        <w:right w:val="none" w:sz="0" w:space="0" w:color="auto"/>
      </w:divBdr>
    </w:div>
    <w:div w:id="187723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3/Lei/L12899.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652C1-D774-4B8B-98E7-AA04E6E02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1659</Words>
  <Characters>8961</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PROJETO DE LEI Nº</vt:lpstr>
    </vt:vector>
  </TitlesOfParts>
  <Company/>
  <LinksUpToDate>false</LinksUpToDate>
  <CharactersWithSpaces>10599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dc:title>
  <dc:subject/>
  <dc:creator>Prefeitura Municipal de Girua</dc:creator>
  <cp:keywords/>
  <dc:description/>
  <cp:lastModifiedBy>USUARIO</cp:lastModifiedBy>
  <cp:revision>7</cp:revision>
  <cp:lastPrinted>2019-04-10T12:41:00Z</cp:lastPrinted>
  <dcterms:created xsi:type="dcterms:W3CDTF">2019-04-26T13:44:00Z</dcterms:created>
  <dcterms:modified xsi:type="dcterms:W3CDTF">2019-04-26T13:58:00Z</dcterms:modified>
</cp:coreProperties>
</file>